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harts/chart6.xml" ContentType="application/vnd.openxmlformats-officedocument.drawingml.chart+xml"/>
  <Override PartName="/word/theme/theme1.xml" ContentType="application/vnd.openxmlformats-officedocument.theme+xml"/>
  <Override PartName="/word/charts/chart4.xml" ContentType="application/vnd.openxmlformats-officedocument.drawingml.chart+xml"/>
  <Override PartName="/word/charts/chart5.xml" ContentType="application/vnd.openxmlformats-officedocument.drawingml.chart+xml"/>
  <Override PartName="/word/charts/chart1.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2" w:type="dxa"/>
        <w:jc w:val="right"/>
        <w:tblLayout w:type="fixed"/>
        <w:tblLook w:val="0000" w:firstRow="0" w:lastRow="0" w:firstColumn="0" w:lastColumn="0" w:noHBand="0" w:noVBand="0"/>
      </w:tblPr>
      <w:tblGrid>
        <w:gridCol w:w="6409"/>
        <w:gridCol w:w="18"/>
        <w:gridCol w:w="3285"/>
      </w:tblGrid>
      <w:tr w:rsidR="00BD6CE0" w:rsidRPr="00BB0A7A" w:rsidTr="00AD0062">
        <w:trPr>
          <w:cantSplit/>
          <w:trHeight w:val="718"/>
          <w:jc w:val="right"/>
        </w:trPr>
        <w:tc>
          <w:tcPr>
            <w:tcW w:w="6409" w:type="dxa"/>
            <w:tcBorders>
              <w:bottom w:val="single" w:sz="2" w:space="0" w:color="auto"/>
            </w:tcBorders>
          </w:tcPr>
          <w:p w:rsidR="00BD6CE0" w:rsidRPr="00BB0A7A" w:rsidRDefault="00BD6CE0" w:rsidP="00AD0062">
            <w:pPr>
              <w:tabs>
                <w:tab w:val="left" w:pos="1247"/>
                <w:tab w:val="left" w:pos="1814"/>
                <w:tab w:val="left" w:pos="2381"/>
                <w:tab w:val="left" w:pos="2948"/>
                <w:tab w:val="left" w:pos="3515"/>
                <w:tab w:val="left" w:pos="4082"/>
              </w:tabs>
              <w:spacing w:before="40" w:line="240" w:lineRule="auto"/>
              <w:rPr>
                <w:rFonts w:ascii="Times New Roman" w:hAnsi="Times New Roman" w:cs="Times New Roman"/>
                <w:sz w:val="20"/>
                <w:szCs w:val="20"/>
                <w:lang w:val="es-ES_tradnl"/>
              </w:rPr>
            </w:pPr>
            <w:r w:rsidRPr="00BB0A7A">
              <w:rPr>
                <w:noProof/>
              </w:rPr>
              <w:drawing>
                <wp:inline distT="0" distB="0" distL="0" distR="0" wp14:anchorId="09EBC954" wp14:editId="359740FB">
                  <wp:extent cx="1289685" cy="5511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685" cy="551180"/>
                          </a:xfrm>
                          <a:prstGeom prst="rect">
                            <a:avLst/>
                          </a:prstGeom>
                          <a:noFill/>
                          <a:ln>
                            <a:noFill/>
                          </a:ln>
                        </pic:spPr>
                      </pic:pic>
                    </a:graphicData>
                  </a:graphic>
                </wp:inline>
              </w:drawing>
            </w:r>
          </w:p>
        </w:tc>
        <w:tc>
          <w:tcPr>
            <w:tcW w:w="3303" w:type="dxa"/>
            <w:gridSpan w:val="2"/>
            <w:tcBorders>
              <w:bottom w:val="single" w:sz="2" w:space="0" w:color="auto"/>
            </w:tcBorders>
            <w:vAlign w:val="bottom"/>
          </w:tcPr>
          <w:p w:rsidR="00BD6CE0" w:rsidRPr="00BB0A7A" w:rsidRDefault="00BD6CE0" w:rsidP="00BD6CE0">
            <w:pPr>
              <w:tabs>
                <w:tab w:val="left" w:pos="1247"/>
                <w:tab w:val="left" w:pos="1814"/>
                <w:tab w:val="left" w:pos="2381"/>
                <w:tab w:val="left" w:pos="2948"/>
                <w:tab w:val="left" w:pos="3515"/>
                <w:tab w:val="left" w:pos="4082"/>
              </w:tabs>
              <w:spacing w:after="0" w:line="240" w:lineRule="auto"/>
              <w:rPr>
                <w:rFonts w:ascii="Times New Roman" w:hAnsi="Times New Roman" w:cs="Times New Roman"/>
                <w:sz w:val="20"/>
                <w:szCs w:val="20"/>
                <w:lang w:val="es-ES_tradnl"/>
              </w:rPr>
            </w:pPr>
            <w:r w:rsidRPr="00BB0A7A">
              <w:rPr>
                <w:rFonts w:ascii="Times New Roman" w:eastAsia="Times New Roman" w:hAnsi="Times New Roman" w:cs="Times New Roman"/>
                <w:b/>
                <w:sz w:val="24"/>
                <w:szCs w:val="24"/>
                <w:lang w:val="es-ES_tradnl"/>
              </w:rPr>
              <w:t>SAICM</w:t>
            </w:r>
            <w:r w:rsidRPr="00BB0A7A">
              <w:rPr>
                <w:rFonts w:ascii="Times New Roman" w:eastAsia="Times New Roman" w:hAnsi="Times New Roman" w:cs="Times New Roman"/>
                <w:sz w:val="20"/>
                <w:szCs w:val="20"/>
                <w:lang w:val="es-ES_tradnl"/>
              </w:rPr>
              <w:t>/ICCM.4/3</w:t>
            </w:r>
          </w:p>
        </w:tc>
      </w:tr>
      <w:tr w:rsidR="00BD6CE0" w:rsidRPr="00BB0A7A" w:rsidTr="00AD0062">
        <w:trPr>
          <w:cantSplit/>
          <w:trHeight w:val="2275"/>
          <w:jc w:val="right"/>
        </w:trPr>
        <w:tc>
          <w:tcPr>
            <w:tcW w:w="6427" w:type="dxa"/>
            <w:gridSpan w:val="2"/>
            <w:tcBorders>
              <w:top w:val="single" w:sz="2" w:space="0" w:color="auto"/>
              <w:bottom w:val="single" w:sz="24" w:space="0" w:color="auto"/>
            </w:tcBorders>
            <w:vAlign w:val="center"/>
          </w:tcPr>
          <w:p w:rsidR="00BD6CE0" w:rsidRPr="00BB0A7A" w:rsidRDefault="00BD6CE0" w:rsidP="00AD0062">
            <w:pPr>
              <w:tabs>
                <w:tab w:val="left" w:pos="1247"/>
                <w:tab w:val="left" w:pos="1814"/>
                <w:tab w:val="left" w:pos="2381"/>
                <w:tab w:val="left" w:pos="2948"/>
                <w:tab w:val="left" w:pos="3515"/>
                <w:tab w:val="left" w:pos="4082"/>
              </w:tabs>
              <w:spacing w:after="0" w:line="240" w:lineRule="auto"/>
              <w:rPr>
                <w:rFonts w:ascii="Times New Roman" w:hAnsi="Times New Roman" w:cs="Times New Roman"/>
                <w:sz w:val="20"/>
                <w:szCs w:val="20"/>
                <w:lang w:val="es-ES_tradnl"/>
              </w:rPr>
            </w:pPr>
            <w:r w:rsidRPr="00BB0A7A">
              <w:rPr>
                <w:noProof/>
              </w:rPr>
              <w:drawing>
                <wp:inline distT="0" distB="0" distL="0" distR="0" wp14:anchorId="06A4B022" wp14:editId="7705BEBF">
                  <wp:extent cx="2801620" cy="6388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r="10156" b="21611"/>
                          <a:stretch>
                            <a:fillRect/>
                          </a:stretch>
                        </pic:blipFill>
                        <pic:spPr bwMode="auto">
                          <a:xfrm>
                            <a:off x="0" y="0"/>
                            <a:ext cx="2801620" cy="638810"/>
                          </a:xfrm>
                          <a:prstGeom prst="rect">
                            <a:avLst/>
                          </a:prstGeom>
                          <a:noFill/>
                          <a:ln>
                            <a:noFill/>
                          </a:ln>
                        </pic:spPr>
                      </pic:pic>
                    </a:graphicData>
                  </a:graphic>
                </wp:inline>
              </w:drawing>
            </w:r>
          </w:p>
        </w:tc>
        <w:tc>
          <w:tcPr>
            <w:tcW w:w="3285" w:type="dxa"/>
            <w:tcBorders>
              <w:top w:val="single" w:sz="2" w:space="0" w:color="auto"/>
              <w:bottom w:val="single" w:sz="24" w:space="0" w:color="auto"/>
            </w:tcBorders>
          </w:tcPr>
          <w:p w:rsidR="00BD6CE0" w:rsidRPr="00BB0A7A" w:rsidRDefault="00BD6CE0" w:rsidP="00AD0062">
            <w:pPr>
              <w:pStyle w:val="Normal-pool"/>
              <w:tabs>
                <w:tab w:val="left" w:pos="4082"/>
              </w:tabs>
              <w:spacing w:before="120"/>
              <w:rPr>
                <w:rFonts w:eastAsia="Calibri"/>
                <w:lang w:val="es-ES_tradnl"/>
              </w:rPr>
            </w:pPr>
            <w:proofErr w:type="spellStart"/>
            <w:r w:rsidRPr="00BB0A7A">
              <w:rPr>
                <w:rFonts w:eastAsia="Calibri"/>
                <w:lang w:val="es-ES_tradnl"/>
              </w:rPr>
              <w:t>Distr</w:t>
            </w:r>
            <w:proofErr w:type="spellEnd"/>
            <w:r w:rsidRPr="00BB0A7A">
              <w:rPr>
                <w:rFonts w:eastAsia="Calibri"/>
                <w:lang w:val="es-ES_tradnl"/>
              </w:rPr>
              <w:t>. general</w:t>
            </w:r>
            <w:r w:rsidRPr="00BB0A7A">
              <w:rPr>
                <w:rFonts w:eastAsia="Calibri"/>
                <w:lang w:val="es-ES_tradnl"/>
              </w:rPr>
              <w:br/>
              <w:t>23 de julio de 2015</w:t>
            </w:r>
          </w:p>
          <w:p w:rsidR="00BD6CE0" w:rsidRPr="00BB0A7A" w:rsidRDefault="00BD6CE0" w:rsidP="00AD0062">
            <w:pPr>
              <w:pStyle w:val="Normal-pool"/>
              <w:tabs>
                <w:tab w:val="left" w:pos="4082"/>
              </w:tabs>
              <w:spacing w:before="120"/>
              <w:rPr>
                <w:rFonts w:eastAsia="Calibri"/>
                <w:lang w:val="es-ES_tradnl"/>
              </w:rPr>
            </w:pPr>
            <w:r w:rsidRPr="00BB0A7A">
              <w:rPr>
                <w:rFonts w:eastAsia="Calibri"/>
                <w:lang w:val="es-ES_tradnl"/>
              </w:rPr>
              <w:t>Español</w:t>
            </w:r>
            <w:r w:rsidRPr="00BB0A7A">
              <w:rPr>
                <w:rFonts w:eastAsia="Calibri"/>
                <w:lang w:val="es-ES_tradnl"/>
              </w:rPr>
              <w:br/>
              <w:t xml:space="preserve">Original: inglés </w:t>
            </w:r>
          </w:p>
        </w:tc>
      </w:tr>
    </w:tbl>
    <w:p w:rsidR="00BD6CE0" w:rsidRPr="00BB0A7A" w:rsidRDefault="007661E3" w:rsidP="00BD6CE0">
      <w:pPr>
        <w:keepNext/>
        <w:keepLines/>
        <w:tabs>
          <w:tab w:val="left" w:pos="1247"/>
          <w:tab w:val="left" w:pos="1814"/>
          <w:tab w:val="left" w:pos="2381"/>
          <w:tab w:val="left" w:pos="2948"/>
          <w:tab w:val="left" w:pos="3515"/>
        </w:tabs>
        <w:suppressAutoHyphens/>
        <w:spacing w:after="0" w:line="240" w:lineRule="auto"/>
        <w:ind w:right="3402"/>
        <w:rPr>
          <w:rFonts w:ascii="Times New Roman" w:hAnsi="Times New Roman" w:cs="Times New Roman"/>
          <w:b/>
          <w:sz w:val="20"/>
          <w:szCs w:val="20"/>
          <w:lang w:val="es-ES_tradnl"/>
        </w:rPr>
      </w:pPr>
      <w:r w:rsidRPr="00BB0A7A">
        <w:rPr>
          <w:rFonts w:ascii="Times New Roman" w:hAnsi="Times New Roman" w:cs="Times New Roman"/>
          <w:b/>
          <w:sz w:val="20"/>
          <w:szCs w:val="20"/>
          <w:lang w:val="es-ES_tradnl"/>
        </w:rPr>
        <w:t>Conferencia Internacional sobre Gestión de los Productos Químicos</w:t>
      </w:r>
    </w:p>
    <w:p w:rsidR="00BD6CE0" w:rsidRPr="00BB0A7A" w:rsidRDefault="00BD6CE0" w:rsidP="00BD6CE0">
      <w:pPr>
        <w:keepNext/>
        <w:keepLines/>
        <w:tabs>
          <w:tab w:val="left" w:pos="1247"/>
          <w:tab w:val="left" w:pos="1814"/>
          <w:tab w:val="left" w:pos="2381"/>
          <w:tab w:val="left" w:pos="2948"/>
          <w:tab w:val="left" w:pos="3515"/>
        </w:tabs>
        <w:suppressAutoHyphens/>
        <w:spacing w:after="0" w:line="240" w:lineRule="auto"/>
        <w:ind w:right="3402"/>
        <w:rPr>
          <w:rFonts w:ascii="Times New Roman" w:hAnsi="Times New Roman" w:cs="Times New Roman"/>
          <w:b/>
          <w:sz w:val="20"/>
          <w:szCs w:val="20"/>
          <w:lang w:val="es-ES_tradnl"/>
        </w:rPr>
      </w:pPr>
      <w:r w:rsidRPr="00BB0A7A">
        <w:rPr>
          <w:rFonts w:ascii="Times New Roman" w:hAnsi="Times New Roman" w:cs="Times New Roman"/>
          <w:b/>
          <w:sz w:val="20"/>
          <w:szCs w:val="20"/>
          <w:lang w:val="es-ES_tradnl"/>
        </w:rPr>
        <w:t>C</w:t>
      </w:r>
      <w:r w:rsidR="007661E3" w:rsidRPr="00BB0A7A">
        <w:rPr>
          <w:rFonts w:ascii="Times New Roman" w:hAnsi="Times New Roman" w:cs="Times New Roman"/>
          <w:b/>
          <w:sz w:val="20"/>
          <w:szCs w:val="20"/>
          <w:lang w:val="es-ES_tradnl"/>
        </w:rPr>
        <w:t>uarto período de sesiones</w:t>
      </w:r>
    </w:p>
    <w:p w:rsidR="00536CB4" w:rsidRPr="00BB0A7A" w:rsidRDefault="00536CB4" w:rsidP="00BD6CE0">
      <w:pPr>
        <w:keepNext/>
        <w:keepLines/>
        <w:tabs>
          <w:tab w:val="left" w:pos="1247"/>
          <w:tab w:val="left" w:pos="1814"/>
          <w:tab w:val="left" w:pos="2381"/>
          <w:tab w:val="left" w:pos="2948"/>
          <w:tab w:val="left" w:pos="3515"/>
        </w:tabs>
        <w:suppressAutoHyphens/>
        <w:spacing w:after="0" w:line="240" w:lineRule="auto"/>
        <w:ind w:right="3402"/>
        <w:rPr>
          <w:rFonts w:ascii="Times New Roman" w:eastAsia="Times New Roman" w:hAnsi="Times New Roman" w:cs="Times New Roman"/>
          <w:b/>
          <w:sz w:val="20"/>
          <w:szCs w:val="20"/>
          <w:lang w:val="es-ES_tradnl"/>
        </w:rPr>
      </w:pPr>
      <w:r w:rsidRPr="00BB0A7A">
        <w:rPr>
          <w:rFonts w:ascii="Times New Roman" w:hAnsi="Times New Roman" w:cs="Times New Roman"/>
          <w:sz w:val="20"/>
          <w:szCs w:val="20"/>
          <w:lang w:val="es-ES_tradnl"/>
        </w:rPr>
        <w:t>Ginebra, 28 de septiembre a 2 de octubre de 2015</w:t>
      </w:r>
    </w:p>
    <w:p w:rsidR="00EA7805" w:rsidRPr="00BB0A7A" w:rsidRDefault="00EA7805" w:rsidP="00BD6CE0">
      <w:pPr>
        <w:pStyle w:val="AATitle"/>
        <w:rPr>
          <w:b w:val="0"/>
          <w:lang w:val="es-ES_tradnl"/>
        </w:rPr>
      </w:pPr>
      <w:r w:rsidRPr="00BB0A7A">
        <w:rPr>
          <w:b w:val="0"/>
          <w:lang w:val="es-ES_tradnl"/>
        </w:rPr>
        <w:t>Tema 4 a) del programa provisional</w:t>
      </w:r>
      <w:r w:rsidR="00013FDD" w:rsidRPr="00BB0A7A">
        <w:rPr>
          <w:rStyle w:val="FootnoteReference"/>
          <w:b w:val="0"/>
          <w:szCs w:val="20"/>
          <w:vertAlign w:val="baseline"/>
          <w:lang w:val="es-ES_tradnl"/>
        </w:rPr>
        <w:footnoteReference w:customMarkFollows="1" w:id="1"/>
        <w:t>*</w:t>
      </w:r>
    </w:p>
    <w:p w:rsidR="00EA7805" w:rsidRPr="00BB0A7A" w:rsidRDefault="00EA7805" w:rsidP="00BD6CE0">
      <w:pPr>
        <w:pStyle w:val="AATitle2"/>
        <w:spacing w:before="60"/>
        <w:rPr>
          <w:lang w:val="es-ES_tradnl"/>
        </w:rPr>
      </w:pPr>
      <w:r w:rsidRPr="00BB0A7A">
        <w:rPr>
          <w:lang w:val="es-ES_tradnl"/>
        </w:rPr>
        <w:t>Progresos y dificultades en la consecución de</w:t>
      </w:r>
      <w:r w:rsidR="00022CB6">
        <w:rPr>
          <w:lang w:val="es-ES_tradnl"/>
        </w:rPr>
        <w:t xml:space="preserve"> la meta de la gestión</w:t>
      </w:r>
      <w:r w:rsidR="00022CB6">
        <w:rPr>
          <w:lang w:val="es-ES_tradnl"/>
        </w:rPr>
        <w:br/>
      </w:r>
      <w:r w:rsidR="009F3996" w:rsidRPr="00BB0A7A">
        <w:rPr>
          <w:lang w:val="es-ES_tradnl"/>
        </w:rPr>
        <w:t>racional</w:t>
      </w:r>
      <w:r w:rsidR="00022CB6">
        <w:rPr>
          <w:lang w:val="es-ES_tradnl"/>
        </w:rPr>
        <w:t> </w:t>
      </w:r>
      <w:r w:rsidRPr="00BB0A7A">
        <w:rPr>
          <w:lang w:val="es-ES_tradnl"/>
        </w:rPr>
        <w:t xml:space="preserve">de los productos químicos para 2020: logros, puntos </w:t>
      </w:r>
      <w:r w:rsidR="00022CB6">
        <w:rPr>
          <w:lang w:val="es-ES_tradnl"/>
        </w:rPr>
        <w:t>fuertes</w:t>
      </w:r>
      <w:r w:rsidR="00022CB6">
        <w:rPr>
          <w:lang w:val="es-ES_tradnl"/>
        </w:rPr>
        <w:br/>
      </w:r>
      <w:r w:rsidR="009F3996" w:rsidRPr="00BB0A7A">
        <w:rPr>
          <w:lang w:val="es-ES_tradnl"/>
        </w:rPr>
        <w:t xml:space="preserve">y desafíos regionales y </w:t>
      </w:r>
      <w:r w:rsidRPr="00BB0A7A">
        <w:rPr>
          <w:lang w:val="es-ES_tradnl"/>
        </w:rPr>
        <w:t xml:space="preserve">sectoriales en el </w:t>
      </w:r>
      <w:r w:rsidR="00022CB6">
        <w:rPr>
          <w:lang w:val="es-ES_tradnl"/>
        </w:rPr>
        <w:t>contexto de la labor encaminada</w:t>
      </w:r>
      <w:r w:rsidR="00022CB6">
        <w:rPr>
          <w:lang w:val="es-ES_tradnl"/>
        </w:rPr>
        <w:br/>
      </w:r>
      <w:r w:rsidRPr="00BB0A7A">
        <w:rPr>
          <w:lang w:val="es-ES_tradnl"/>
        </w:rPr>
        <w:t>a la con</w:t>
      </w:r>
      <w:r w:rsidR="009F3996" w:rsidRPr="00BB0A7A">
        <w:rPr>
          <w:lang w:val="es-ES_tradnl"/>
        </w:rPr>
        <w:t>secución de los objetivos de la </w:t>
      </w:r>
      <w:r w:rsidRPr="00BB0A7A">
        <w:rPr>
          <w:lang w:val="es-ES_tradnl"/>
        </w:rPr>
        <w:t>Es</w:t>
      </w:r>
      <w:r w:rsidR="00022CB6">
        <w:rPr>
          <w:lang w:val="es-ES_tradnl"/>
        </w:rPr>
        <w:t>trategia de política global</w:t>
      </w:r>
      <w:r w:rsidR="00022CB6">
        <w:rPr>
          <w:lang w:val="es-ES_tradnl"/>
        </w:rPr>
        <w:br/>
        <w:t xml:space="preserve">del </w:t>
      </w:r>
      <w:r w:rsidRPr="00BB0A7A">
        <w:rPr>
          <w:lang w:val="es-ES_tradnl"/>
        </w:rPr>
        <w:t>Enfoque Estratégico</w:t>
      </w:r>
    </w:p>
    <w:p w:rsidR="00904F4D" w:rsidRPr="00BB0A7A" w:rsidRDefault="00904F4D" w:rsidP="00904F4D">
      <w:pPr>
        <w:pStyle w:val="ZZAnxtitle"/>
        <w:rPr>
          <w:lang w:val="es-ES_tradnl"/>
        </w:rPr>
      </w:pPr>
      <w:r w:rsidRPr="00BB0A7A">
        <w:rPr>
          <w:lang w:val="es-ES_tradnl"/>
        </w:rPr>
        <w:t>Informe resumido sobre los progresos realizado</w:t>
      </w:r>
      <w:r w:rsidR="00452CD6">
        <w:rPr>
          <w:lang w:val="es-ES_tradnl"/>
        </w:rPr>
        <w:t>s en la aplicación del </w:t>
      </w:r>
      <w:r w:rsidR="0090572C" w:rsidRPr="00BB0A7A">
        <w:rPr>
          <w:lang w:val="es-ES_tradnl"/>
        </w:rPr>
        <w:t>Enfoque E</w:t>
      </w:r>
      <w:r w:rsidRPr="00BB0A7A">
        <w:rPr>
          <w:lang w:val="es-ES_tradnl"/>
        </w:rPr>
        <w:t>stratégico durante el período 2011</w:t>
      </w:r>
      <w:r w:rsidR="00A04810" w:rsidRPr="00BB0A7A">
        <w:rPr>
          <w:lang w:val="es-ES_tradnl"/>
        </w:rPr>
        <w:noBreakHyphen/>
      </w:r>
      <w:r w:rsidRPr="00BB0A7A">
        <w:rPr>
          <w:lang w:val="es-ES_tradnl"/>
        </w:rPr>
        <w:t>2013</w:t>
      </w:r>
    </w:p>
    <w:p w:rsidR="00C25361" w:rsidRPr="00BB0A7A" w:rsidRDefault="00C25361" w:rsidP="007661E3">
      <w:pPr>
        <w:pStyle w:val="CH2"/>
        <w:rPr>
          <w:lang w:val="es-ES_tradnl"/>
        </w:rPr>
      </w:pPr>
      <w:r w:rsidRPr="00BB0A7A">
        <w:rPr>
          <w:lang w:val="es-ES_tradnl"/>
        </w:rPr>
        <w:tab/>
      </w:r>
      <w:r w:rsidR="00013FDD" w:rsidRPr="00BB0A7A">
        <w:rPr>
          <w:lang w:val="es-ES_tradnl"/>
        </w:rPr>
        <w:tab/>
      </w:r>
      <w:r w:rsidRPr="00BB0A7A">
        <w:rPr>
          <w:lang w:val="es-ES_tradnl"/>
        </w:rPr>
        <w:t>Nota de la Secretaría</w:t>
      </w:r>
    </w:p>
    <w:p w:rsidR="00C25361" w:rsidRPr="00BB0A7A" w:rsidRDefault="003B44D6" w:rsidP="00BD6CE0">
      <w:pPr>
        <w:pStyle w:val="Normalnumber"/>
        <w:tabs>
          <w:tab w:val="clear" w:pos="567"/>
          <w:tab w:val="clear" w:pos="1247"/>
          <w:tab w:val="clear" w:pos="1814"/>
          <w:tab w:val="clear" w:pos="2381"/>
          <w:tab w:val="clear" w:pos="2948"/>
          <w:tab w:val="clear" w:pos="3515"/>
        </w:tabs>
        <w:rPr>
          <w:lang w:val="es-ES_tradnl"/>
        </w:rPr>
      </w:pPr>
      <w:r w:rsidRPr="00BB0A7A">
        <w:rPr>
          <w:lang w:val="es-ES_tradnl"/>
        </w:rPr>
        <w:t>La Secretaría tiene el honor de distribuir, para información de los participantes, un informe resumido sobre los progresos rea</w:t>
      </w:r>
      <w:r w:rsidR="0090572C" w:rsidRPr="00BB0A7A">
        <w:rPr>
          <w:lang w:val="es-ES_tradnl"/>
        </w:rPr>
        <w:t>lizados en la aplicación</w:t>
      </w:r>
      <w:r w:rsidRPr="00BB0A7A">
        <w:rPr>
          <w:lang w:val="es-ES_tradnl"/>
        </w:rPr>
        <w:t xml:space="preserve"> del Enfoque Estratégico para la Gestión de los Productos Químicos a Nivel Internacional durante el período 2011</w:t>
      </w:r>
      <w:r w:rsidR="00A04810" w:rsidRPr="00BB0A7A">
        <w:rPr>
          <w:lang w:val="es-ES_tradnl"/>
        </w:rPr>
        <w:noBreakHyphen/>
      </w:r>
      <w:r w:rsidRPr="00BB0A7A">
        <w:rPr>
          <w:lang w:val="es-ES_tradnl"/>
        </w:rPr>
        <w:t>2013 (véase el anexo).</w:t>
      </w:r>
    </w:p>
    <w:p w:rsidR="00C25361" w:rsidRPr="00BB0A7A" w:rsidRDefault="00B408A8" w:rsidP="00BD6CE0">
      <w:pPr>
        <w:pStyle w:val="Normalnumber"/>
        <w:tabs>
          <w:tab w:val="clear" w:pos="567"/>
          <w:tab w:val="clear" w:pos="1247"/>
          <w:tab w:val="clear" w:pos="1814"/>
          <w:tab w:val="clear" w:pos="2381"/>
          <w:tab w:val="clear" w:pos="2948"/>
          <w:tab w:val="clear" w:pos="3515"/>
        </w:tabs>
        <w:rPr>
          <w:lang w:val="es-ES_tradnl"/>
        </w:rPr>
      </w:pPr>
      <w:r w:rsidRPr="00BB0A7A">
        <w:rPr>
          <w:lang w:val="es-ES_tradnl"/>
        </w:rPr>
        <w:t>Según lo dispuesto en</w:t>
      </w:r>
      <w:r w:rsidR="00C25361" w:rsidRPr="00BB0A7A">
        <w:rPr>
          <w:lang w:val="es-ES_tradnl"/>
        </w:rPr>
        <w:t xml:space="preserve"> el párrafo 24 de la Estrategia de Política Global, la Conferencia Internacional sobre Gestión de los Productos Químicos realiza exámenes periódicos del Enfoque Estratégico. Dos de sus funciones a este respecto son recibir informes de todos los interesados directos pertinentes sobre los progresos logrados en la aplicación del Enfoque Estratégico y difundir esa información, según convenga y evaluar la aplicación del Enfoque Estratégico con miras a comprobar los progresos en relación con la meta de 2020 y adoptar decisiones estratégicas, programar, asignar prioridades y actualizar e</w:t>
      </w:r>
      <w:r w:rsidR="00A7267F" w:rsidRPr="00BB0A7A">
        <w:rPr>
          <w:lang w:val="es-ES_tradnl"/>
        </w:rPr>
        <w:t>l enfoque, según sea necesario</w:t>
      </w:r>
      <w:r w:rsidR="00C25361" w:rsidRPr="00BB0A7A">
        <w:rPr>
          <w:lang w:val="es-ES_tradnl"/>
        </w:rPr>
        <w:t>.</w:t>
      </w:r>
    </w:p>
    <w:p w:rsidR="00A040DB" w:rsidRPr="00BB0A7A" w:rsidRDefault="007661E3" w:rsidP="007661E3">
      <w:pPr>
        <w:pStyle w:val="CH2"/>
        <w:rPr>
          <w:sz w:val="20"/>
          <w:szCs w:val="20"/>
          <w:lang w:val="es-ES_tradnl"/>
        </w:rPr>
      </w:pPr>
      <w:r w:rsidRPr="00BB0A7A">
        <w:rPr>
          <w:lang w:val="es-ES_tradnl"/>
        </w:rPr>
        <w:tab/>
      </w:r>
      <w:r w:rsidRPr="00BB0A7A">
        <w:rPr>
          <w:lang w:val="es-ES_tradnl"/>
        </w:rPr>
        <w:tab/>
      </w:r>
      <w:r w:rsidRPr="00BB0A7A">
        <w:rPr>
          <w:sz w:val="20"/>
          <w:szCs w:val="20"/>
          <w:lang w:val="es-ES_tradnl"/>
        </w:rPr>
        <w:t>Posibles medidas</w:t>
      </w:r>
    </w:p>
    <w:p w:rsidR="00A040DB" w:rsidRPr="00BB0A7A" w:rsidRDefault="00A040DB" w:rsidP="00BD6CE0">
      <w:pPr>
        <w:pStyle w:val="Normalnumber"/>
        <w:tabs>
          <w:tab w:val="clear" w:pos="567"/>
          <w:tab w:val="clear" w:pos="1247"/>
          <w:tab w:val="clear" w:pos="1814"/>
          <w:tab w:val="clear" w:pos="2381"/>
          <w:tab w:val="clear" w:pos="2948"/>
          <w:tab w:val="clear" w:pos="3515"/>
        </w:tabs>
        <w:rPr>
          <w:lang w:val="es-ES_tradnl"/>
        </w:rPr>
      </w:pPr>
      <w:r w:rsidRPr="00BB0A7A">
        <w:rPr>
          <w:lang w:val="es-ES_tradnl"/>
        </w:rPr>
        <w:t xml:space="preserve">La Conferencia tal vez desee, en la resolución que se formulará </w:t>
      </w:r>
      <w:r w:rsidR="009F3996" w:rsidRPr="00BB0A7A">
        <w:rPr>
          <w:lang w:val="es-ES_tradnl"/>
        </w:rPr>
        <w:t>conforme al tema 5 a) del </w:t>
      </w:r>
      <w:r w:rsidRPr="00BB0A7A">
        <w:rPr>
          <w:lang w:val="es-ES_tradnl"/>
        </w:rPr>
        <w:t>programa:</w:t>
      </w:r>
    </w:p>
    <w:p w:rsidR="00E16246" w:rsidRPr="00BB0A7A" w:rsidRDefault="00E16246" w:rsidP="00E77B9E">
      <w:pPr>
        <w:pStyle w:val="Normalnumber"/>
        <w:numPr>
          <w:ilvl w:val="1"/>
          <w:numId w:val="5"/>
        </w:numPr>
        <w:ind w:left="1247" w:firstLine="624"/>
        <w:rPr>
          <w:lang w:val="es-ES_tradnl"/>
        </w:rPr>
      </w:pPr>
      <w:r w:rsidRPr="00BB0A7A">
        <w:rPr>
          <w:lang w:val="es-ES_tradnl"/>
        </w:rPr>
        <w:t>A</w:t>
      </w:r>
      <w:r w:rsidR="00B408A8" w:rsidRPr="00BB0A7A">
        <w:rPr>
          <w:lang w:val="es-ES_tradnl"/>
        </w:rPr>
        <w:t>coger con agrado el informe de</w:t>
      </w:r>
      <w:r w:rsidRPr="00BB0A7A">
        <w:rPr>
          <w:lang w:val="es-ES_tradnl"/>
        </w:rPr>
        <w:t xml:space="preserve"> la Secretaría so</w:t>
      </w:r>
      <w:r w:rsidR="00013FDD" w:rsidRPr="00BB0A7A">
        <w:rPr>
          <w:lang w:val="es-ES_tradnl"/>
        </w:rPr>
        <w:t xml:space="preserve">bre los progresos realizados en </w:t>
      </w:r>
      <w:r w:rsidRPr="00BB0A7A">
        <w:rPr>
          <w:lang w:val="es-ES_tradnl"/>
        </w:rPr>
        <w:t>el período 2011</w:t>
      </w:r>
      <w:r w:rsidR="00A04810" w:rsidRPr="00BB0A7A">
        <w:rPr>
          <w:lang w:val="es-ES_tradnl"/>
        </w:rPr>
        <w:noBreakHyphen/>
      </w:r>
      <w:r w:rsidRPr="00BB0A7A">
        <w:rPr>
          <w:lang w:val="es-ES_tradnl"/>
        </w:rPr>
        <w:t>2013;</w:t>
      </w:r>
    </w:p>
    <w:p w:rsidR="00E16246" w:rsidRPr="00BB0A7A" w:rsidRDefault="00E16246" w:rsidP="00E77B9E">
      <w:pPr>
        <w:pStyle w:val="Normalnumber"/>
        <w:numPr>
          <w:ilvl w:val="1"/>
          <w:numId w:val="5"/>
        </w:numPr>
        <w:ind w:left="1247" w:firstLine="624"/>
        <w:rPr>
          <w:lang w:val="es-ES_tradnl"/>
        </w:rPr>
      </w:pPr>
      <w:r w:rsidRPr="00BB0A7A">
        <w:rPr>
          <w:lang w:val="es-ES_tradnl"/>
        </w:rPr>
        <w:t>Solicitar a la Secretaría que prepare un tercer informe sobre los progresos realizados en el período 2014</w:t>
      </w:r>
      <w:r w:rsidR="00A04810" w:rsidRPr="00BB0A7A">
        <w:rPr>
          <w:lang w:val="es-ES_tradnl"/>
        </w:rPr>
        <w:noBreakHyphen/>
      </w:r>
      <w:r w:rsidRPr="00BB0A7A">
        <w:rPr>
          <w:lang w:val="es-ES_tradnl"/>
        </w:rPr>
        <w:t>2016, incluido un análisis de los 20 indicadores de progreso en relación con la agenda para el desarrollo después de 2015, y un cuarto informe para el período 2017</w:t>
      </w:r>
      <w:r w:rsidR="00A04810" w:rsidRPr="00BB0A7A">
        <w:rPr>
          <w:lang w:val="es-ES_tradnl"/>
        </w:rPr>
        <w:noBreakHyphen/>
      </w:r>
      <w:r w:rsidRPr="00BB0A7A">
        <w:rPr>
          <w:lang w:val="es-ES_tradnl"/>
        </w:rPr>
        <w:t>2019;</w:t>
      </w:r>
    </w:p>
    <w:p w:rsidR="007C76F6" w:rsidRPr="00BB0A7A" w:rsidRDefault="00E16246" w:rsidP="00E77B9E">
      <w:pPr>
        <w:pStyle w:val="Normalnumber"/>
        <w:numPr>
          <w:ilvl w:val="1"/>
          <w:numId w:val="5"/>
        </w:numPr>
        <w:ind w:left="1247" w:firstLine="624"/>
        <w:rPr>
          <w:lang w:val="es-ES_tradnl"/>
        </w:rPr>
      </w:pPr>
      <w:r w:rsidRPr="00BB0A7A">
        <w:rPr>
          <w:lang w:val="es-ES_tradnl"/>
        </w:rPr>
        <w:t>Alentar a los interesados que posean datos complementarios, como las organizaciones participantes en el Programa Interinstitucional de Gestión Racional de los Produ</w:t>
      </w:r>
      <w:r w:rsidR="00B408A8" w:rsidRPr="00BB0A7A">
        <w:rPr>
          <w:lang w:val="es-ES_tradnl"/>
        </w:rPr>
        <w:t xml:space="preserve">ctos Químicos y las </w:t>
      </w:r>
      <w:r w:rsidRPr="00BB0A7A">
        <w:rPr>
          <w:lang w:val="es-ES_tradnl"/>
        </w:rPr>
        <w:t>Secretarías de los convenios</w:t>
      </w:r>
      <w:r w:rsidR="00B408A8" w:rsidRPr="00BB0A7A">
        <w:rPr>
          <w:lang w:val="es-ES_tradnl"/>
        </w:rPr>
        <w:t xml:space="preserve"> pertinentes</w:t>
      </w:r>
      <w:r w:rsidRPr="00BB0A7A">
        <w:rPr>
          <w:lang w:val="es-ES_tradnl"/>
        </w:rPr>
        <w:t>, a coordinar con la Secretaría del Enfoque Estratégico la comunicación de esos datos dentro del próximo ciclo de presentación de informes;</w:t>
      </w:r>
    </w:p>
    <w:p w:rsidR="00A040DB" w:rsidRPr="00BB0A7A" w:rsidRDefault="00A040DB" w:rsidP="00556B70">
      <w:pPr>
        <w:pStyle w:val="Normalnumber"/>
        <w:keepNext/>
        <w:keepLines/>
        <w:numPr>
          <w:ilvl w:val="1"/>
          <w:numId w:val="5"/>
        </w:numPr>
        <w:ind w:left="1247" w:firstLine="624"/>
        <w:rPr>
          <w:lang w:val="es-ES_tradnl"/>
        </w:rPr>
      </w:pPr>
      <w:r w:rsidRPr="00BB0A7A">
        <w:rPr>
          <w:lang w:val="es-ES_tradnl"/>
        </w:rPr>
        <w:t xml:space="preserve">Tomar nota de los indicadores cuya tendencia en los datos recopilados muestre un progreso menor del esperado y discutir las posibles formas de fomentar más actividades durante el </w:t>
      </w:r>
      <w:r w:rsidR="000B7EBD" w:rsidRPr="00BB0A7A">
        <w:rPr>
          <w:lang w:val="es-ES_tradnl"/>
        </w:rPr>
        <w:t xml:space="preserve">lapso que medie entre los </w:t>
      </w:r>
      <w:r w:rsidRPr="00BB0A7A">
        <w:rPr>
          <w:lang w:val="es-ES_tradnl"/>
        </w:rPr>
        <w:t>período</w:t>
      </w:r>
      <w:r w:rsidR="000B7EBD" w:rsidRPr="00BB0A7A">
        <w:rPr>
          <w:lang w:val="es-ES_tradnl"/>
        </w:rPr>
        <w:t>s</w:t>
      </w:r>
      <w:r w:rsidRPr="00BB0A7A">
        <w:rPr>
          <w:lang w:val="es-ES_tradnl"/>
        </w:rPr>
        <w:t xml:space="preserve"> sesiones;</w:t>
      </w:r>
    </w:p>
    <w:p w:rsidR="00A040DB" w:rsidRPr="00BB0A7A" w:rsidRDefault="00A040DB" w:rsidP="00556B70">
      <w:pPr>
        <w:pStyle w:val="Normalnumber"/>
        <w:keepNext/>
        <w:keepLines/>
        <w:numPr>
          <w:ilvl w:val="1"/>
          <w:numId w:val="5"/>
        </w:numPr>
        <w:ind w:left="1247" w:firstLine="624"/>
        <w:rPr>
          <w:lang w:val="es-ES_tradnl"/>
        </w:rPr>
      </w:pPr>
      <w:r w:rsidRPr="00BB0A7A">
        <w:rPr>
          <w:lang w:val="es-ES_tradnl"/>
        </w:rPr>
        <w:t>Solicitar a la Secretaría que aproveche las reuniones pe</w:t>
      </w:r>
      <w:r w:rsidR="000B7EBD" w:rsidRPr="00BB0A7A">
        <w:rPr>
          <w:lang w:val="es-ES_tradnl"/>
        </w:rPr>
        <w:t>rtinentes que se celebren entre los</w:t>
      </w:r>
      <w:r w:rsidRPr="00BB0A7A">
        <w:rPr>
          <w:lang w:val="es-ES_tradnl"/>
        </w:rPr>
        <w:t xml:space="preserve"> períodos sesiones para examinar las conclusiones de la labor de presentación de informes sobre los progresos realizados en la puesta en práctica del Enfoque Estratégico</w:t>
      </w:r>
      <w:r w:rsidR="00B408A8" w:rsidRPr="00BB0A7A">
        <w:rPr>
          <w:lang w:val="es-ES_tradnl"/>
        </w:rPr>
        <w:t>,</w:t>
      </w:r>
      <w:r w:rsidRPr="00BB0A7A">
        <w:rPr>
          <w:lang w:val="es-ES_tradnl"/>
        </w:rPr>
        <w:t xml:space="preserve"> a fin de sensibilizar y lograr que en la futura labor de presentación de informes participen más interesados.</w:t>
      </w:r>
    </w:p>
    <w:p w:rsidR="003B44D6" w:rsidRPr="00BB0A7A" w:rsidRDefault="002B6D51" w:rsidP="007661E3">
      <w:pPr>
        <w:pStyle w:val="ZZAnxheader"/>
        <w:rPr>
          <w:lang w:val="es-ES_tradnl"/>
        </w:rPr>
      </w:pPr>
      <w:r w:rsidRPr="00BB0A7A">
        <w:rPr>
          <w:lang w:val="es-ES_tradnl"/>
        </w:rPr>
        <w:br w:type="page"/>
        <w:t>Anexo</w:t>
      </w:r>
    </w:p>
    <w:p w:rsidR="003A1947" w:rsidRPr="00BB0A7A" w:rsidRDefault="003A1947" w:rsidP="00AD0062">
      <w:pPr>
        <w:pStyle w:val="ZZAnxtitle"/>
        <w:tabs>
          <w:tab w:val="clear" w:pos="1247"/>
          <w:tab w:val="clear" w:pos="1814"/>
          <w:tab w:val="clear" w:pos="2381"/>
          <w:tab w:val="clear" w:pos="2948"/>
          <w:tab w:val="clear" w:pos="3515"/>
        </w:tabs>
        <w:rPr>
          <w:lang w:val="es-ES_tradnl"/>
        </w:rPr>
      </w:pPr>
      <w:r w:rsidRPr="00BB0A7A">
        <w:rPr>
          <w:lang w:val="es-ES_tradnl"/>
        </w:rPr>
        <w:t>Informe resumido sobre los progresos realizado</w:t>
      </w:r>
      <w:r w:rsidR="00AD0062" w:rsidRPr="00BB0A7A">
        <w:rPr>
          <w:lang w:val="es-ES_tradnl"/>
        </w:rPr>
        <w:t>s en la aplicación del </w:t>
      </w:r>
      <w:r w:rsidR="000C5124" w:rsidRPr="00BB0A7A">
        <w:rPr>
          <w:lang w:val="es-ES_tradnl"/>
        </w:rPr>
        <w:t>Enfoque E</w:t>
      </w:r>
      <w:r w:rsidRPr="00BB0A7A">
        <w:rPr>
          <w:lang w:val="es-ES_tradnl"/>
        </w:rPr>
        <w:t>stratégico durante el período 2011</w:t>
      </w:r>
      <w:r w:rsidR="00A04810" w:rsidRPr="00BB0A7A">
        <w:rPr>
          <w:lang w:val="es-ES_tradnl"/>
        </w:rPr>
        <w:noBreakHyphen/>
      </w:r>
      <w:r w:rsidRPr="00BB0A7A">
        <w:rPr>
          <w:lang w:val="es-ES_tradnl"/>
        </w:rPr>
        <w:t>2013</w:t>
      </w:r>
    </w:p>
    <w:p w:rsidR="00FD44CE" w:rsidRPr="00BB0A7A" w:rsidRDefault="00B65466" w:rsidP="007661E3">
      <w:pPr>
        <w:pStyle w:val="CH1"/>
        <w:rPr>
          <w:lang w:val="es-ES_tradnl"/>
        </w:rPr>
      </w:pPr>
      <w:r w:rsidRPr="00BB0A7A">
        <w:rPr>
          <w:lang w:val="es-ES_tradnl"/>
        </w:rPr>
        <w:tab/>
      </w:r>
      <w:r w:rsidR="007661E3" w:rsidRPr="00BB0A7A">
        <w:rPr>
          <w:lang w:val="es-ES_tradnl"/>
        </w:rPr>
        <w:t>I.</w:t>
      </w:r>
      <w:r w:rsidRPr="00BB0A7A">
        <w:rPr>
          <w:lang w:val="es-ES_tradnl"/>
        </w:rPr>
        <w:tab/>
      </w:r>
      <w:r w:rsidR="007661E3" w:rsidRPr="00BB0A7A">
        <w:rPr>
          <w:lang w:val="es-ES_tradnl"/>
        </w:rPr>
        <w:t>Antecedentes</w:t>
      </w:r>
    </w:p>
    <w:p w:rsidR="00FD44CE" w:rsidRPr="00BB0A7A" w:rsidRDefault="00FD44CE"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El presente informe resumid</w:t>
      </w:r>
      <w:r w:rsidR="00991A00" w:rsidRPr="00BB0A7A">
        <w:rPr>
          <w:lang w:val="es-ES_tradnl"/>
        </w:rPr>
        <w:t>o se basa en el informe íntegro</w:t>
      </w:r>
      <w:r w:rsidRPr="00BB0A7A">
        <w:rPr>
          <w:lang w:val="es-ES_tradnl"/>
        </w:rPr>
        <w:t xml:space="preserve"> preparado por la Secretaría sobre los progresos realizados en la aplicación</w:t>
      </w:r>
      <w:r w:rsidR="00991A00" w:rsidRPr="00BB0A7A">
        <w:rPr>
          <w:lang w:val="es-ES_tradnl"/>
        </w:rPr>
        <w:t xml:space="preserve"> del Enfoque Estratégico que se presentó</w:t>
      </w:r>
      <w:r w:rsidRPr="00BB0A7A">
        <w:rPr>
          <w:lang w:val="es-ES_tradnl"/>
        </w:rPr>
        <w:t xml:space="preserve"> al Grupo de Trabajo de composición abierta de la Conferencia Internacional sobre Gestión de los Productos Químicos en su segunda reunión (véase SAICM/OEWG.</w:t>
      </w:r>
      <w:r w:rsidR="00991A00" w:rsidRPr="00BB0A7A">
        <w:rPr>
          <w:lang w:val="es-ES_tradnl"/>
        </w:rPr>
        <w:t>2/INF/4). Este informe íntegro</w:t>
      </w:r>
      <w:r w:rsidRPr="00BB0A7A">
        <w:rPr>
          <w:lang w:val="es-ES_tradnl"/>
        </w:rPr>
        <w:t xml:space="preserve"> contiene un análisis de los avances logrados en la aplicación del Enfoque Estratégico en 2011</w:t>
      </w:r>
      <w:r w:rsidR="00A04810" w:rsidRPr="00BB0A7A">
        <w:rPr>
          <w:lang w:val="es-ES_tradnl"/>
        </w:rPr>
        <w:noBreakHyphen/>
      </w:r>
      <w:r w:rsidRPr="00BB0A7A">
        <w:rPr>
          <w:lang w:val="es-ES_tradnl"/>
        </w:rPr>
        <w:t>2013 y representa u</w:t>
      </w:r>
      <w:r w:rsidR="00991A00" w:rsidRPr="00BB0A7A">
        <w:rPr>
          <w:lang w:val="es-ES_tradnl"/>
        </w:rPr>
        <w:t>n</w:t>
      </w:r>
      <w:r w:rsidR="000C5124" w:rsidRPr="00BB0A7A">
        <w:rPr>
          <w:lang w:val="es-ES_tradnl"/>
        </w:rPr>
        <w:t>a información más completa, integrada por</w:t>
      </w:r>
      <w:r w:rsidRPr="00BB0A7A">
        <w:rPr>
          <w:lang w:val="es-ES_tradnl"/>
        </w:rPr>
        <w:t xml:space="preserve"> una comparación exhaustiva con los datos del informe previo, correspondiente al período 2009</w:t>
      </w:r>
      <w:r w:rsidR="00A04810" w:rsidRPr="00BB0A7A">
        <w:rPr>
          <w:lang w:val="es-ES_tradnl"/>
        </w:rPr>
        <w:noBreakHyphen/>
      </w:r>
      <w:r w:rsidRPr="00BB0A7A">
        <w:rPr>
          <w:lang w:val="es-ES_tradnl"/>
        </w:rPr>
        <w:t>2010,</w:t>
      </w:r>
      <w:r w:rsidR="000C5124" w:rsidRPr="00BB0A7A">
        <w:rPr>
          <w:lang w:val="es-ES_tradnl"/>
        </w:rPr>
        <w:t xml:space="preserve"> que se presentó</w:t>
      </w:r>
      <w:r w:rsidRPr="00BB0A7A">
        <w:rPr>
          <w:lang w:val="es-ES_tradnl"/>
        </w:rPr>
        <w:t xml:space="preserve"> a la Conferencia en su terce</w:t>
      </w:r>
      <w:r w:rsidR="00991A00" w:rsidRPr="00BB0A7A">
        <w:rPr>
          <w:lang w:val="es-ES_tradnl"/>
        </w:rPr>
        <w:t xml:space="preserve">r período de sesiones (véase </w:t>
      </w:r>
      <w:r w:rsidR="00A04810" w:rsidRPr="00BB0A7A">
        <w:rPr>
          <w:lang w:val="es-ES_tradnl"/>
        </w:rPr>
        <w:t>SAICM/ICCM.</w:t>
      </w:r>
      <w:r w:rsidRPr="00BB0A7A">
        <w:rPr>
          <w:lang w:val="es-ES_tradnl"/>
        </w:rPr>
        <w:t>3</w:t>
      </w:r>
      <w:r w:rsidR="000C5124" w:rsidRPr="00BB0A7A">
        <w:rPr>
          <w:lang w:val="es-ES_tradnl"/>
        </w:rPr>
        <w:t>/INF/6), y un análisis minucioso</w:t>
      </w:r>
      <w:r w:rsidRPr="00BB0A7A">
        <w:rPr>
          <w:lang w:val="es-ES_tradnl"/>
        </w:rPr>
        <w:t xml:space="preserve"> de </w:t>
      </w:r>
      <w:r w:rsidR="000C5124" w:rsidRPr="00BB0A7A">
        <w:rPr>
          <w:lang w:val="es-ES_tradnl"/>
        </w:rPr>
        <w:t xml:space="preserve">todo lo relativo a los </w:t>
      </w:r>
      <w:r w:rsidRPr="00BB0A7A">
        <w:rPr>
          <w:lang w:val="es-ES_tradnl"/>
        </w:rPr>
        <w:t>diferentes grupos de interesados y regiones geográficas.</w:t>
      </w:r>
    </w:p>
    <w:p w:rsidR="00FD44CE" w:rsidRPr="00BB0A7A" w:rsidRDefault="00FD44CE"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La Organización Mundial</w:t>
      </w:r>
      <w:r w:rsidR="000C5124" w:rsidRPr="00BB0A7A">
        <w:rPr>
          <w:lang w:val="es-ES_tradnl"/>
        </w:rPr>
        <w:t xml:space="preserve"> de la Salud (OMS), dentro de la</w:t>
      </w:r>
      <w:r w:rsidRPr="00BB0A7A">
        <w:rPr>
          <w:lang w:val="es-ES_tradnl"/>
        </w:rPr>
        <w:t xml:space="preserve"> función</w:t>
      </w:r>
      <w:r w:rsidR="000C5124" w:rsidRPr="00BB0A7A">
        <w:rPr>
          <w:lang w:val="es-ES_tradnl"/>
        </w:rPr>
        <w:t xml:space="preserve"> que desempeña</w:t>
      </w:r>
      <w:r w:rsidRPr="00BB0A7A">
        <w:rPr>
          <w:lang w:val="es-ES_tradnl"/>
        </w:rPr>
        <w:t xml:space="preserve"> en la Secretaría del Enfoque Estratégico, colaboró con esta en la recopi</w:t>
      </w:r>
      <w:r w:rsidR="00B32206" w:rsidRPr="00BB0A7A">
        <w:rPr>
          <w:lang w:val="es-ES_tradnl"/>
        </w:rPr>
        <w:t>lación de los datos remitidos por</w:t>
      </w:r>
      <w:r w:rsidR="00AD0062" w:rsidRPr="00BB0A7A">
        <w:rPr>
          <w:lang w:val="es-ES_tradnl"/>
        </w:rPr>
        <w:t> </w:t>
      </w:r>
      <w:r w:rsidR="00A04810" w:rsidRPr="00BB0A7A">
        <w:rPr>
          <w:lang w:val="es-ES_tradnl"/>
        </w:rPr>
        <w:t>los </w:t>
      </w:r>
      <w:r w:rsidRPr="00BB0A7A">
        <w:rPr>
          <w:lang w:val="es-ES_tradnl"/>
        </w:rPr>
        <w:t>interesados.</w:t>
      </w:r>
    </w:p>
    <w:p w:rsidR="00FD44CE" w:rsidRPr="00BB0A7A" w:rsidRDefault="00B3641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En tota</w:t>
      </w:r>
      <w:r w:rsidR="00B32206" w:rsidRPr="00BB0A7A">
        <w:rPr>
          <w:lang w:val="es-ES_tradnl"/>
        </w:rPr>
        <w:t>l se recibieron 101 respuestas (</w:t>
      </w:r>
      <w:r w:rsidRPr="00BB0A7A">
        <w:rPr>
          <w:lang w:val="es-ES_tradnl"/>
        </w:rPr>
        <w:t>procedentes de</w:t>
      </w:r>
      <w:r w:rsidR="00FD44CE" w:rsidRPr="00BB0A7A">
        <w:rPr>
          <w:lang w:val="es-ES_tradnl"/>
        </w:rPr>
        <w:t xml:space="preserve"> 83 gobiernos, cinco organizaciones intergubernamentales, una organización no gubernamental del sector privado y 12 organizaciones no gubernamentales de la sociedad </w:t>
      </w:r>
      <w:r w:rsidRPr="00BB0A7A">
        <w:rPr>
          <w:lang w:val="es-ES_tradnl"/>
        </w:rPr>
        <w:t>civil</w:t>
      </w:r>
      <w:r w:rsidR="00B32206" w:rsidRPr="00BB0A7A">
        <w:rPr>
          <w:lang w:val="es-ES_tradnl"/>
        </w:rPr>
        <w:t>),</w:t>
      </w:r>
      <w:r w:rsidR="00FD44CE" w:rsidRPr="00BB0A7A">
        <w:rPr>
          <w:lang w:val="es-ES_tradnl"/>
        </w:rPr>
        <w:t xml:space="preserve"> que</w:t>
      </w:r>
      <w:r w:rsidRPr="00BB0A7A">
        <w:rPr>
          <w:lang w:val="es-ES_tradnl"/>
        </w:rPr>
        <w:t xml:space="preserve"> sirvieron de base para e</w:t>
      </w:r>
      <w:r w:rsidR="00FD44CE" w:rsidRPr="00BB0A7A">
        <w:rPr>
          <w:lang w:val="es-ES_tradnl"/>
        </w:rPr>
        <w:t>l análisis. En el caso d</w:t>
      </w:r>
      <w:r w:rsidR="00AD6E96" w:rsidRPr="00BB0A7A">
        <w:rPr>
          <w:lang w:val="es-ES_tradnl"/>
        </w:rPr>
        <w:t>e los gobiernos, la tasa de respuesta fue del 43% en conjunto, pero varió considerablemente de una región a otra, de ahí que en la muestra haya una</w:t>
      </w:r>
      <w:r w:rsidR="00FD44CE" w:rsidRPr="00BB0A7A">
        <w:rPr>
          <w:lang w:val="es-ES_tradnl"/>
        </w:rPr>
        <w:t xml:space="preserve"> repres</w:t>
      </w:r>
      <w:r w:rsidR="00AD6E96" w:rsidRPr="00BB0A7A">
        <w:rPr>
          <w:lang w:val="es-ES_tradnl"/>
        </w:rPr>
        <w:t xml:space="preserve">entación excesiva </w:t>
      </w:r>
      <w:r w:rsidR="00FD44CE" w:rsidRPr="00BB0A7A">
        <w:rPr>
          <w:lang w:val="es-ES_tradnl"/>
        </w:rPr>
        <w:t>de los Estados de Europa Occidental y otros Estados y de Europa Central y Oriental y una representación insuficiente de los gobiernos africanos. En particular, el escaso número de presentaciones procedentes de la región de África (de 54 países, solo 10 remitieron respues</w:t>
      </w:r>
      <w:r w:rsidR="0045101C" w:rsidRPr="00BB0A7A">
        <w:rPr>
          <w:lang w:val="es-ES_tradnl"/>
        </w:rPr>
        <w:t>tas) plantea problemas en cuanto al uso de</w:t>
      </w:r>
      <w:r w:rsidR="00FD44CE" w:rsidRPr="00BB0A7A">
        <w:rPr>
          <w:lang w:val="es-ES_tradnl"/>
        </w:rPr>
        <w:t xml:space="preserve"> los resultados de la región como muestra representativa.</w:t>
      </w:r>
    </w:p>
    <w:p w:rsidR="00FD44CE" w:rsidRPr="00BB0A7A" w:rsidRDefault="0045101C"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En </w:t>
      </w:r>
      <w:r w:rsidR="00FD44CE" w:rsidRPr="00BB0A7A">
        <w:rPr>
          <w:lang w:val="es-ES_tradnl"/>
        </w:rPr>
        <w:t>el presente resumen, los datos se ha</w:t>
      </w:r>
      <w:r w:rsidR="00607285">
        <w:rPr>
          <w:lang w:val="es-ES_tradnl"/>
        </w:rPr>
        <w:t>n</w:t>
      </w:r>
      <w:r w:rsidR="00FD44CE" w:rsidRPr="00BB0A7A">
        <w:rPr>
          <w:lang w:val="es-ES_tradnl"/>
        </w:rPr>
        <w:t xml:space="preserve"> comunicado principalmente en forma agregada, y la lista de indicadores para la presentación de informes sobre los progresos real</w:t>
      </w:r>
      <w:r w:rsidR="00AD0062" w:rsidRPr="00BB0A7A">
        <w:rPr>
          <w:lang w:val="es-ES_tradnl"/>
        </w:rPr>
        <w:t>izados puede consultarse en el a</w:t>
      </w:r>
      <w:r w:rsidR="00FD44CE" w:rsidRPr="00BB0A7A">
        <w:rPr>
          <w:lang w:val="es-ES_tradnl"/>
        </w:rPr>
        <w:t>péndice II. El panorama mundial oculta una serie de diferenci</w:t>
      </w:r>
      <w:r w:rsidRPr="00BB0A7A">
        <w:rPr>
          <w:lang w:val="es-ES_tradnl"/>
        </w:rPr>
        <w:t>as regionales y la imagen de conjunto refleja distintos ámbitos</w:t>
      </w:r>
      <w:r w:rsidR="00FD44CE" w:rsidRPr="00BB0A7A">
        <w:rPr>
          <w:lang w:val="es-ES_tradnl"/>
        </w:rPr>
        <w:t xml:space="preserve"> de</w:t>
      </w:r>
      <w:r w:rsidRPr="00BB0A7A">
        <w:rPr>
          <w:lang w:val="es-ES_tradnl"/>
        </w:rPr>
        <w:t xml:space="preserve"> progreso en unas regiones y otras. E</w:t>
      </w:r>
      <w:r w:rsidR="00FD44CE" w:rsidRPr="00BB0A7A">
        <w:rPr>
          <w:lang w:val="es-ES_tradnl"/>
        </w:rPr>
        <w:t>n algunos casos</w:t>
      </w:r>
      <w:r w:rsidRPr="00BB0A7A">
        <w:rPr>
          <w:lang w:val="es-ES_tradnl"/>
        </w:rPr>
        <w:t>, esta disparidad guarda</w:t>
      </w:r>
      <w:r w:rsidR="00FD44CE" w:rsidRPr="00BB0A7A">
        <w:rPr>
          <w:lang w:val="es-ES_tradnl"/>
        </w:rPr>
        <w:t xml:space="preserve"> relación con la distribuc</w:t>
      </w:r>
      <w:r w:rsidR="00AE4525">
        <w:rPr>
          <w:lang w:val="es-ES_tradnl"/>
        </w:rPr>
        <w:t>ión geográfica del Programa de Inicio R</w:t>
      </w:r>
      <w:r w:rsidR="00FD44CE" w:rsidRPr="00BB0A7A">
        <w:rPr>
          <w:lang w:val="es-ES_tradnl"/>
        </w:rPr>
        <w:t>ápido y el Programa Interinstitucional de Gestión Racional de los Productos Químicos. No obstante, dado que todas las regiones muestran avance</w:t>
      </w:r>
      <w:r w:rsidRPr="00BB0A7A">
        <w:rPr>
          <w:lang w:val="es-ES_tradnl"/>
        </w:rPr>
        <w:t>s concretos, a menudo en esferas en la</w:t>
      </w:r>
      <w:r w:rsidR="00FD44CE" w:rsidRPr="00BB0A7A">
        <w:rPr>
          <w:lang w:val="es-ES_tradnl"/>
        </w:rPr>
        <w:t>s que el progreso mundial puede ser lento, estos logros y deficiencias regionales se mencionan en el resumen, y los in</w:t>
      </w:r>
      <w:r w:rsidRPr="00BB0A7A">
        <w:rPr>
          <w:lang w:val="es-ES_tradnl"/>
        </w:rPr>
        <w:t>teresados tal vez deseen estudiar</w:t>
      </w:r>
      <w:r w:rsidR="00FD44CE" w:rsidRPr="00BB0A7A">
        <w:rPr>
          <w:lang w:val="es-ES_tradnl"/>
        </w:rPr>
        <w:t xml:space="preserve"> la adopción de mecanismos para aprovechar al máximo el intercambio de experiencias y mejores prácticas entre todas las regiones.</w:t>
      </w:r>
    </w:p>
    <w:p w:rsidR="003F5A6F" w:rsidRPr="00BB0A7A" w:rsidRDefault="003F5A6F"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Los datos del período 2011</w:t>
      </w:r>
      <w:r w:rsidR="00A04810" w:rsidRPr="00BB0A7A">
        <w:rPr>
          <w:lang w:val="es-ES_tradnl"/>
        </w:rPr>
        <w:noBreakHyphen/>
      </w:r>
      <w:r w:rsidRPr="00BB0A7A">
        <w:rPr>
          <w:lang w:val="es-ES_tradnl"/>
        </w:rPr>
        <w:t>2013</w:t>
      </w:r>
      <w:r w:rsidR="00B65466" w:rsidRPr="00BB0A7A">
        <w:rPr>
          <w:lang w:val="es-ES_tradnl"/>
        </w:rPr>
        <w:t xml:space="preserve"> se han comparado con los once “elementos básicos”</w:t>
      </w:r>
      <w:r w:rsidRPr="00BB0A7A">
        <w:rPr>
          <w:lang w:val="es-ES_tradnl"/>
        </w:rPr>
        <w:t xml:space="preserve"> definidos en la orientación y </w:t>
      </w:r>
      <w:r w:rsidR="0045101C" w:rsidRPr="00BB0A7A">
        <w:rPr>
          <w:lang w:val="es-ES_tradnl"/>
        </w:rPr>
        <w:t xml:space="preserve">las </w:t>
      </w:r>
      <w:r w:rsidRPr="00BB0A7A">
        <w:rPr>
          <w:lang w:val="es-ES_tradnl"/>
        </w:rPr>
        <w:t>directrices generales para alcanzar la meta de la gestión racional de los productos químico</w:t>
      </w:r>
      <w:r w:rsidR="00A04810" w:rsidRPr="00BB0A7A">
        <w:rPr>
          <w:lang w:val="es-ES_tradnl"/>
        </w:rPr>
        <w:t>s fijada para 2020 (SAICM/ICCM.</w:t>
      </w:r>
      <w:r w:rsidRPr="00BB0A7A">
        <w:rPr>
          <w:lang w:val="es-ES_tradnl"/>
        </w:rPr>
        <w:t>4/6) y en gran medida confirman que los elementos propuestos abarcan las actividades más habituales, por ejemplo, la observancia de los convenios internacio</w:t>
      </w:r>
      <w:r w:rsidR="00607285">
        <w:rPr>
          <w:lang w:val="es-ES_tradnl"/>
        </w:rPr>
        <w:t>nal</w:t>
      </w:r>
      <w:r w:rsidRPr="00BB0A7A">
        <w:rPr>
          <w:lang w:val="es-ES_tradnl"/>
        </w:rPr>
        <w:t>es y los marcos jurídicos que tratan la cuestión de los ciclos de vida de los productos químicos, la vigilancia de los efectos en la salud y el medio ambiente y el fortaleci</w:t>
      </w:r>
      <w:r w:rsidR="00AD0062" w:rsidRPr="00BB0A7A">
        <w:rPr>
          <w:lang w:val="es-ES_tradnl"/>
        </w:rPr>
        <w:t>miento de </w:t>
      </w:r>
      <w:r w:rsidRPr="00BB0A7A">
        <w:rPr>
          <w:lang w:val="es-ES_tradnl"/>
        </w:rPr>
        <w:t>los sistemas institucionales entre todos los agentes y la industria.</w:t>
      </w:r>
    </w:p>
    <w:p w:rsidR="003A1947" w:rsidRPr="00BB0A7A" w:rsidRDefault="00AD0062" w:rsidP="00AD0062">
      <w:pPr>
        <w:pStyle w:val="CH1"/>
        <w:rPr>
          <w:lang w:val="es-ES_tradnl"/>
        </w:rPr>
      </w:pPr>
      <w:r w:rsidRPr="00BB0A7A">
        <w:rPr>
          <w:lang w:val="es-ES_tradnl"/>
        </w:rPr>
        <w:tab/>
      </w:r>
      <w:r w:rsidR="00B65466" w:rsidRPr="00BB0A7A">
        <w:rPr>
          <w:lang w:val="es-ES_tradnl"/>
        </w:rPr>
        <w:t>II.</w:t>
      </w:r>
      <w:r w:rsidR="00B65466" w:rsidRPr="00BB0A7A">
        <w:rPr>
          <w:lang w:val="es-ES_tradnl"/>
        </w:rPr>
        <w:tab/>
      </w:r>
      <w:r w:rsidR="004D30C2" w:rsidRPr="00BB0A7A">
        <w:rPr>
          <w:lang w:val="es-ES_tradnl"/>
        </w:rPr>
        <w:t>Panorama mundial</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Para el segundo período de presentación de informes, correspondiente a 2011</w:t>
      </w:r>
      <w:r w:rsidR="00A04810" w:rsidRPr="00BB0A7A">
        <w:rPr>
          <w:lang w:val="es-ES_tradnl"/>
        </w:rPr>
        <w:noBreakHyphen/>
      </w:r>
      <w:r w:rsidRPr="00BB0A7A">
        <w:rPr>
          <w:lang w:val="es-ES_tradnl"/>
        </w:rPr>
        <w:t>2013, el nivel general de actividad</w:t>
      </w:r>
      <w:r w:rsidR="0045101C" w:rsidRPr="00BB0A7A">
        <w:rPr>
          <w:lang w:val="es-ES_tradnl"/>
        </w:rPr>
        <w:t>es</w:t>
      </w:r>
      <w:r w:rsidRPr="00BB0A7A">
        <w:rPr>
          <w:lang w:val="es-ES_tradnl"/>
        </w:rPr>
        <w:t xml:space="preserve"> comunicada</w:t>
      </w:r>
      <w:r w:rsidR="0045101C" w:rsidRPr="00BB0A7A">
        <w:rPr>
          <w:lang w:val="es-ES_tradnl"/>
        </w:rPr>
        <w:t>s</w:t>
      </w:r>
      <w:r w:rsidRPr="00BB0A7A">
        <w:rPr>
          <w:lang w:val="es-ES_tradnl"/>
        </w:rPr>
        <w:t xml:space="preserve"> por todos los informantes en todos los indicadores</w:t>
      </w:r>
      <w:r w:rsidR="00B65466" w:rsidRPr="00BB0A7A">
        <w:rPr>
          <w:lang w:val="es-ES_tradnl"/>
        </w:rPr>
        <w:t xml:space="preserve"> </w:t>
      </w:r>
      <w:r w:rsidRPr="00BB0A7A">
        <w:rPr>
          <w:lang w:val="es-ES_tradnl"/>
        </w:rPr>
        <w:t>es 0,47, lo que indica que se seleccionaron casi el 50% de las actividades disponibles, frente al 0,39 del primer período de presentación de informes, correspondiente al bienio 2009</w:t>
      </w:r>
      <w:r w:rsidR="00A04810" w:rsidRPr="00BB0A7A">
        <w:rPr>
          <w:lang w:val="es-ES_tradnl"/>
        </w:rPr>
        <w:noBreakHyphen/>
      </w:r>
      <w:r w:rsidRPr="00BB0A7A">
        <w:rPr>
          <w:lang w:val="es-ES_tradnl"/>
        </w:rPr>
        <w:t>2010</w:t>
      </w:r>
      <w:r w:rsidR="001B1678" w:rsidRPr="00BB0A7A">
        <w:rPr>
          <w:rStyle w:val="FootnoteReference"/>
          <w:lang w:val="es-ES_tradnl"/>
        </w:rPr>
        <w:footnoteReference w:id="2"/>
      </w:r>
      <w:r w:rsidRPr="00BB0A7A">
        <w:rPr>
          <w:lang w:val="es-ES_tradnl"/>
        </w:rPr>
        <w:t xml:space="preserve"> . Esta cifra representa un incremento medio de alrededor del 10% en el número de informantes que seleccionan actividades en todas las preguntas. Por tanto, en la información que figura a continuación, los incrementos inferiores al 10% en relación con una pregunta o un indicador específicos representan un nivel de progreso inferior a la media. En el gráf</w:t>
      </w:r>
      <w:r w:rsidR="0045101C" w:rsidRPr="00BB0A7A">
        <w:rPr>
          <w:lang w:val="es-ES_tradnl"/>
        </w:rPr>
        <w:t>ico I se muestra el promedio de progreso</w:t>
      </w:r>
      <w:r w:rsidRPr="00BB0A7A">
        <w:rPr>
          <w:lang w:val="es-ES_tradnl"/>
        </w:rPr>
        <w:t xml:space="preserve"> </w:t>
      </w:r>
      <w:r w:rsidR="0045101C" w:rsidRPr="00BB0A7A">
        <w:rPr>
          <w:lang w:val="es-ES_tradnl"/>
        </w:rPr>
        <w:t xml:space="preserve">logrado </w:t>
      </w:r>
      <w:r w:rsidRPr="00BB0A7A">
        <w:rPr>
          <w:lang w:val="es-ES_tradnl"/>
        </w:rPr>
        <w:t>entre el primer período de presentación de informes y el segundo, por región y por objetivo de la Estrategia de política global. De las actividades</w:t>
      </w:r>
      <w:r w:rsidR="00797D3A" w:rsidRPr="00BB0A7A">
        <w:rPr>
          <w:lang w:val="es-ES_tradnl"/>
        </w:rPr>
        <w:t xml:space="preserve"> comunicadas por los interesados</w:t>
      </w:r>
      <w:r w:rsidRPr="00BB0A7A">
        <w:rPr>
          <w:lang w:val="es-ES_tradnl"/>
        </w:rPr>
        <w:t>, las que muestran mayor progreso desde el primer período de presentación de informes son las correspondientes a los objetivos A</w:t>
      </w:r>
      <w:r w:rsidR="00797D3A" w:rsidRPr="00BB0A7A">
        <w:rPr>
          <w:lang w:val="es-ES_tradnl"/>
        </w:rPr>
        <w:t xml:space="preserve"> y C</w:t>
      </w:r>
      <w:r w:rsidRPr="00BB0A7A">
        <w:rPr>
          <w:lang w:val="es-ES_tradnl"/>
        </w:rPr>
        <w:t>, relativo</w:t>
      </w:r>
      <w:r w:rsidR="00797D3A" w:rsidRPr="00BB0A7A">
        <w:rPr>
          <w:lang w:val="es-ES_tradnl"/>
        </w:rPr>
        <w:t>s</w:t>
      </w:r>
      <w:r w:rsidRPr="00BB0A7A">
        <w:rPr>
          <w:lang w:val="es-ES_tradnl"/>
        </w:rPr>
        <w:t xml:space="preserve"> a la reducción de los riesgos</w:t>
      </w:r>
      <w:r w:rsidR="00797D3A" w:rsidRPr="00BB0A7A">
        <w:rPr>
          <w:lang w:val="es-ES_tradnl"/>
        </w:rPr>
        <w:t xml:space="preserve"> y</w:t>
      </w:r>
      <w:r w:rsidRPr="00BB0A7A">
        <w:rPr>
          <w:lang w:val="es-ES_tradnl"/>
        </w:rPr>
        <w:t xml:space="preserve"> la gobernanza</w:t>
      </w:r>
      <w:r w:rsidR="00797D3A" w:rsidRPr="00BB0A7A">
        <w:rPr>
          <w:lang w:val="es-ES_tradnl"/>
        </w:rPr>
        <w:t>, respectivamente</w:t>
      </w:r>
      <w:r w:rsidRPr="00BB0A7A">
        <w:rPr>
          <w:lang w:val="es-ES_tradnl"/>
        </w:rPr>
        <w:t xml:space="preserve">; se trata de los mismos objetivos </w:t>
      </w:r>
      <w:r w:rsidR="00797D3A" w:rsidRPr="00BB0A7A">
        <w:rPr>
          <w:lang w:val="es-ES_tradnl"/>
        </w:rPr>
        <w:t>que registraron más</w:t>
      </w:r>
      <w:r w:rsidRPr="00BB0A7A">
        <w:rPr>
          <w:lang w:val="es-ES_tradnl"/>
        </w:rPr>
        <w:t xml:space="preserve"> actividades comunicadas en el primer período de presentación de informes (2009</w:t>
      </w:r>
      <w:r w:rsidR="00A04810" w:rsidRPr="00BB0A7A">
        <w:rPr>
          <w:lang w:val="es-ES_tradnl"/>
        </w:rPr>
        <w:noBreakHyphen/>
      </w:r>
      <w:r w:rsidRPr="00BB0A7A">
        <w:rPr>
          <w:lang w:val="es-ES_tradnl"/>
        </w:rPr>
        <w:t>2010), lo que indica que siguen concentrando el grueso de la labor</w:t>
      </w:r>
      <w:r w:rsidR="002F6330">
        <w:rPr>
          <w:lang w:val="es-ES_tradnl"/>
        </w:rPr>
        <w:t xml:space="preserve"> de los interesados, dato que a </w:t>
      </w:r>
      <w:r w:rsidRPr="00BB0A7A">
        <w:rPr>
          <w:lang w:val="es-ES_tradnl"/>
        </w:rPr>
        <w:t>su vez consolida el estatus prioritario que se les otorgó en el pr</w:t>
      </w:r>
      <w:r w:rsidR="002F6330">
        <w:rPr>
          <w:lang w:val="es-ES_tradnl"/>
        </w:rPr>
        <w:t>imer período de presentación de </w:t>
      </w:r>
      <w:r w:rsidRPr="00BB0A7A">
        <w:rPr>
          <w:lang w:val="es-ES_tradnl"/>
        </w:rPr>
        <w:t>informes.</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La nota dominante de la mejora general de los promedios mundiales expuestos en el presente informe es una mejora significativa en la gama de actividades comunicadas por los informantes de los Estados de Europa Occidental y otros Estados entre el primer y el segundo período de presentación de informes. En general, el volumen de actividades comunicadas por Europa Central y Oriental y América Latina y el Caribe también es mayor en el segundo período de presentación de informes que en el primero, aunque en menor medida que el de los Estados de Europa Occidental y otros Estados; por su parte, África y la región de Asia y el Pacífico comunican menos actividades que en el primer período de presentación de informes. Esta conclusión, en particular en el caso de la región de África, debe interpretarse a la luz de la baja tasa de respuesta y tal vez no sea representativa de la situación real </w:t>
      </w:r>
      <w:r w:rsidR="00606321" w:rsidRPr="00BB0A7A">
        <w:rPr>
          <w:lang w:val="es-ES_tradnl"/>
        </w:rPr>
        <w:t>en cuanto a los progresos logr</w:t>
      </w:r>
      <w:r w:rsidRPr="00BB0A7A">
        <w:rPr>
          <w:lang w:val="es-ES_tradnl"/>
        </w:rPr>
        <w:t>ados en esas regiones. No obstante, en los informes de todas las region</w:t>
      </w:r>
      <w:r w:rsidR="00712F08" w:rsidRPr="00BB0A7A">
        <w:rPr>
          <w:lang w:val="es-ES_tradnl"/>
        </w:rPr>
        <w:t xml:space="preserve">es hay aspectos </w:t>
      </w:r>
      <w:r w:rsidRPr="00BB0A7A">
        <w:rPr>
          <w:lang w:val="es-ES_tradnl"/>
        </w:rPr>
        <w:t>positivos</w:t>
      </w:r>
      <w:r w:rsidR="00712F08" w:rsidRPr="00BB0A7A">
        <w:rPr>
          <w:lang w:val="es-ES_tradnl"/>
        </w:rPr>
        <w:t xml:space="preserve"> concretos</w:t>
      </w:r>
      <w:r w:rsidRPr="00BB0A7A">
        <w:rPr>
          <w:lang w:val="es-ES_tradnl"/>
        </w:rPr>
        <w:t>, que se destacan en las secciones siguientes.</w:t>
      </w:r>
    </w:p>
    <w:p w:rsidR="00CF36FE" w:rsidRPr="00BB0A7A" w:rsidRDefault="007661E3" w:rsidP="00E8725D">
      <w:pPr>
        <w:pStyle w:val="Titlefigure"/>
        <w:rPr>
          <w:b w:val="0"/>
          <w:lang w:val="es-ES_tradnl"/>
        </w:rPr>
      </w:pPr>
      <w:r w:rsidRPr="00BB0A7A">
        <w:rPr>
          <w:b w:val="0"/>
          <w:lang w:val="es-ES_tradnl"/>
        </w:rPr>
        <w:t xml:space="preserve">Gráfico I </w:t>
      </w:r>
    </w:p>
    <w:p w:rsidR="007661E3" w:rsidRPr="00BB0A7A" w:rsidRDefault="00606321" w:rsidP="00E8725D">
      <w:pPr>
        <w:pStyle w:val="Titlefigure"/>
        <w:rPr>
          <w:lang w:val="es-ES_tradnl"/>
        </w:rPr>
      </w:pPr>
      <w:r w:rsidRPr="00BB0A7A">
        <w:rPr>
          <w:lang w:val="es-ES_tradnl"/>
        </w:rPr>
        <w:t>Progresos logr</w:t>
      </w:r>
      <w:r w:rsidR="007661E3" w:rsidRPr="00BB0A7A">
        <w:rPr>
          <w:lang w:val="es-ES_tradnl"/>
        </w:rPr>
        <w:t>ados desde el primer período de pres</w:t>
      </w:r>
      <w:r w:rsidR="00313DBD" w:rsidRPr="00BB0A7A">
        <w:rPr>
          <w:lang w:val="es-ES_tradnl"/>
        </w:rPr>
        <w:t>entación de informes en relación con</w:t>
      </w:r>
      <w:r w:rsidR="007661E3" w:rsidRPr="00BB0A7A">
        <w:rPr>
          <w:lang w:val="es-ES_tradnl"/>
        </w:rPr>
        <w:t xml:space="preserve"> los distintos objetivos, por región</w:t>
      </w:r>
    </w:p>
    <w:p w:rsidR="00607285" w:rsidRDefault="00607285" w:rsidP="008F4A74">
      <w:pPr>
        <w:pStyle w:val="NormalNonumber"/>
      </w:pPr>
      <w:r>
        <w:rPr>
          <w:noProof/>
        </w:rPr>
        <w:drawing>
          <wp:inline distT="0" distB="0" distL="0" distR="0" wp14:anchorId="3273A0A5" wp14:editId="18E6AC24">
            <wp:extent cx="5286151" cy="258991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5872" cy="2589782"/>
                    </a:xfrm>
                    <a:prstGeom prst="rect">
                      <a:avLst/>
                    </a:prstGeom>
                    <a:noFill/>
                    <a:ln>
                      <a:noFill/>
                    </a:ln>
                  </pic:spPr>
                </pic:pic>
              </a:graphicData>
            </a:graphic>
          </wp:inline>
        </w:drawing>
      </w:r>
    </w:p>
    <w:p w:rsidR="003A1947" w:rsidRPr="008F4A74" w:rsidRDefault="005F5955" w:rsidP="008F4A74">
      <w:pPr>
        <w:pStyle w:val="Style2"/>
        <w:rPr>
          <w:b w:val="0"/>
          <w:i/>
        </w:rPr>
      </w:pPr>
      <w:r w:rsidRPr="008F4A74">
        <w:rPr>
          <w:b w:val="0"/>
          <w:i/>
        </w:rPr>
        <w:t xml:space="preserve">Nota: </w:t>
      </w:r>
      <w:proofErr w:type="spellStart"/>
      <w:r w:rsidRPr="008F4A74">
        <w:rPr>
          <w:b w:val="0"/>
          <w:i/>
        </w:rPr>
        <w:t>World</w:t>
      </w:r>
      <w:proofErr w:type="spellEnd"/>
      <w:r w:rsidR="00E0534C" w:rsidRPr="008F4A74">
        <w:rPr>
          <w:b w:val="0"/>
          <w:i/>
        </w:rPr>
        <w:t xml:space="preserve"> = Programa Interinstitucional de Gestión Racional de los Productos Químicos y organizaciones mundiales; </w:t>
      </w:r>
      <w:proofErr w:type="spellStart"/>
      <w:r w:rsidR="00556B88" w:rsidRPr="008F4A74">
        <w:rPr>
          <w:b w:val="0"/>
          <w:i/>
        </w:rPr>
        <w:t>A</w:t>
      </w:r>
      <w:r w:rsidRPr="008F4A74">
        <w:rPr>
          <w:b w:val="0"/>
          <w:i/>
        </w:rPr>
        <w:t>verage</w:t>
      </w:r>
      <w:proofErr w:type="spellEnd"/>
      <w:r w:rsidR="00E0534C" w:rsidRPr="008F4A74">
        <w:rPr>
          <w:b w:val="0"/>
          <w:i/>
        </w:rPr>
        <w:t xml:space="preserve"> = promedio para todas las reg</w:t>
      </w:r>
      <w:r w:rsidR="002F6330" w:rsidRPr="008F4A74">
        <w:rPr>
          <w:b w:val="0"/>
          <w:i/>
        </w:rPr>
        <w:t>iones y categorías mundiales de </w:t>
      </w:r>
      <w:r w:rsidR="00E0534C" w:rsidRPr="008F4A74">
        <w:rPr>
          <w:b w:val="0"/>
          <w:i/>
        </w:rPr>
        <w:t>informantes.</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Al comparar los progresos </w:t>
      </w:r>
      <w:r w:rsidR="00712F08" w:rsidRPr="00BB0A7A">
        <w:rPr>
          <w:lang w:val="es-ES_tradnl"/>
        </w:rPr>
        <w:t>logrados en la consecución de los objetivos por países</w:t>
      </w:r>
      <w:r w:rsidRPr="00BB0A7A">
        <w:rPr>
          <w:lang w:val="es-ES_tradnl"/>
        </w:rPr>
        <w:t xml:space="preserve"> de categorías de ingresos distintas se obtiene una imagen parecida de progreso divergente: los países menos adelantados y otros países de bajos ingresos</w:t>
      </w:r>
      <w:r w:rsidR="004D238E" w:rsidRPr="00BB0A7A">
        <w:rPr>
          <w:lang w:val="es-ES_tradnl"/>
        </w:rPr>
        <w:t xml:space="preserve"> muestran una regresión (esto es</w:t>
      </w:r>
      <w:r w:rsidRPr="00BB0A7A">
        <w:rPr>
          <w:lang w:val="es-ES_tradnl"/>
        </w:rPr>
        <w:t>, en conjunto comunican menos actividades que en el primer período de presentación de informes) y las categorías de ingresos medianos e ingresos más elevados muestran un progreso.</w:t>
      </w:r>
    </w:p>
    <w:p w:rsidR="004A44D5" w:rsidRPr="00BB0A7A" w:rsidRDefault="004A44D5"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En general se diría que la brecha entre países encuadrados en categorías de desarrollo diferentes (según su situación respecto del Comité de Asistencia para el Desarrollo (CAD)) está aumentando y no reduciéndose, pues los </w:t>
      </w:r>
      <w:r w:rsidR="00712F08" w:rsidRPr="00BB0A7A">
        <w:rPr>
          <w:lang w:val="es-ES_tradnl"/>
        </w:rPr>
        <w:t>aumentos en el nivel</w:t>
      </w:r>
      <w:r w:rsidRPr="00BB0A7A">
        <w:rPr>
          <w:lang w:val="es-ES_tradnl"/>
        </w:rPr>
        <w:t xml:space="preserve"> de actividad</w:t>
      </w:r>
      <w:r w:rsidR="00712F08" w:rsidRPr="00BB0A7A">
        <w:rPr>
          <w:lang w:val="es-ES_tradnl"/>
        </w:rPr>
        <w:t>es</w:t>
      </w:r>
      <w:r w:rsidRPr="00BB0A7A">
        <w:rPr>
          <w:lang w:val="es-ES_tradnl"/>
        </w:rPr>
        <w:t xml:space="preserve"> comunicada</w:t>
      </w:r>
      <w:r w:rsidR="00712F08" w:rsidRPr="00BB0A7A">
        <w:rPr>
          <w:lang w:val="es-ES_tradnl"/>
        </w:rPr>
        <w:t>s</w:t>
      </w:r>
      <w:r w:rsidRPr="00BB0A7A">
        <w:rPr>
          <w:lang w:val="es-ES_tradnl"/>
        </w:rPr>
        <w:t xml:space="preserve"> por los países desarrollados (no miembros del CAD) y los países de ingresos medianos</w:t>
      </w:r>
      <w:r w:rsidR="00BC5BC3" w:rsidRPr="00BB0A7A">
        <w:rPr>
          <w:lang w:val="es-ES_tradnl"/>
        </w:rPr>
        <w:t xml:space="preserve"> más</w:t>
      </w:r>
      <w:r w:rsidRPr="00BB0A7A">
        <w:rPr>
          <w:lang w:val="es-ES_tradnl"/>
        </w:rPr>
        <w:t xml:space="preserve"> altos contrastan con las reducciones o la ausencia de variación de los países menos adelantados.</w:t>
      </w:r>
    </w:p>
    <w:p w:rsidR="003A1947" w:rsidRPr="00BB0A7A" w:rsidRDefault="007661E3" w:rsidP="007661E3">
      <w:pPr>
        <w:pStyle w:val="CH1"/>
        <w:rPr>
          <w:lang w:val="es-ES_tradnl"/>
        </w:rPr>
      </w:pPr>
      <w:r w:rsidRPr="00BB0A7A">
        <w:rPr>
          <w:lang w:val="es-ES_tradnl"/>
        </w:rPr>
        <w:tab/>
        <w:t>III.</w:t>
      </w:r>
      <w:r w:rsidR="00A64570" w:rsidRPr="00BB0A7A">
        <w:rPr>
          <w:lang w:val="es-ES_tradnl"/>
        </w:rPr>
        <w:tab/>
      </w:r>
      <w:r w:rsidRPr="00BB0A7A">
        <w:rPr>
          <w:lang w:val="es-ES_tradnl"/>
        </w:rPr>
        <w:t>Análisis en función de los objetivos de la Estrategia de política global del Enfoque Estratégico</w:t>
      </w:r>
    </w:p>
    <w:p w:rsidR="003A1947" w:rsidRPr="00BB0A7A" w:rsidRDefault="007661E3" w:rsidP="007661E3">
      <w:pPr>
        <w:pStyle w:val="CH2"/>
        <w:rPr>
          <w:lang w:val="es-ES_tradnl"/>
        </w:rPr>
      </w:pPr>
      <w:r w:rsidRPr="00BB0A7A">
        <w:rPr>
          <w:lang w:val="es-ES_tradnl"/>
        </w:rPr>
        <w:tab/>
        <w:t>A.</w:t>
      </w:r>
      <w:r w:rsidR="00A64570" w:rsidRPr="00BB0A7A">
        <w:rPr>
          <w:lang w:val="es-ES_tradnl"/>
        </w:rPr>
        <w:tab/>
      </w:r>
      <w:r w:rsidRPr="00BB0A7A">
        <w:rPr>
          <w:lang w:val="es-ES_tradnl"/>
        </w:rPr>
        <w:t>Objetivo A: Reducción de los riesgos</w:t>
      </w:r>
    </w:p>
    <w:p w:rsidR="003A1947" w:rsidRPr="00BB0A7A" w:rsidRDefault="007012CF"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El objetivo A de la Estrategia de política global </w:t>
      </w:r>
      <w:r w:rsidR="00712F08" w:rsidRPr="00BB0A7A">
        <w:rPr>
          <w:lang w:val="es-ES_tradnl"/>
        </w:rPr>
        <w:t>se compone de cinco indicadores. E</w:t>
      </w:r>
      <w:r w:rsidRPr="00BB0A7A">
        <w:rPr>
          <w:lang w:val="es-ES_tradnl"/>
        </w:rPr>
        <w:t>n el primer período de presentación</w:t>
      </w:r>
      <w:r w:rsidR="00712F08" w:rsidRPr="00BB0A7A">
        <w:rPr>
          <w:lang w:val="es-ES_tradnl"/>
        </w:rPr>
        <w:t xml:space="preserve">, los interesados comunicaron un alto volumen de actividad respecto de esos indicadores </w:t>
      </w:r>
      <w:r w:rsidRPr="00BB0A7A">
        <w:rPr>
          <w:lang w:val="es-ES_tradnl"/>
        </w:rPr>
        <w:t>en comparación con los demás objetivos. Esta tendencia continúa y está acelerándose, pues los mayores progresos registrados entre el primer período de presentación de informes y el segundo corresponden al objetivo A. Con ello aumenta aún más l</w:t>
      </w:r>
      <w:r w:rsidR="009173A0" w:rsidRPr="00BB0A7A">
        <w:rPr>
          <w:lang w:val="es-ES_tradnl"/>
        </w:rPr>
        <w:t>a “</w:t>
      </w:r>
      <w:r w:rsidR="0053607C" w:rsidRPr="00BB0A7A">
        <w:rPr>
          <w:lang w:val="es-ES_tradnl"/>
        </w:rPr>
        <w:t>puntua</w:t>
      </w:r>
      <w:r w:rsidR="009173A0" w:rsidRPr="00BB0A7A">
        <w:rPr>
          <w:lang w:val="es-ES_tradnl"/>
        </w:rPr>
        <w:t>ción”</w:t>
      </w:r>
      <w:r w:rsidRPr="00BB0A7A">
        <w:rPr>
          <w:lang w:val="es-ES_tradnl"/>
        </w:rPr>
        <w:t xml:space="preserve"> relativamente elevada de los indicadores del objetivo A en el segundo período de presentación de informes.</w:t>
      </w:r>
    </w:p>
    <w:p w:rsidR="003A1947" w:rsidRPr="00BB0A7A" w:rsidRDefault="00712F08"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El mayor aumento</w:t>
      </w:r>
      <w:r w:rsidR="003A1947" w:rsidRPr="00BB0A7A">
        <w:rPr>
          <w:lang w:val="es-ES_tradnl"/>
        </w:rPr>
        <w:t xml:space="preserve"> </w:t>
      </w:r>
      <w:r w:rsidRPr="00BB0A7A">
        <w:rPr>
          <w:lang w:val="es-ES_tradnl"/>
        </w:rPr>
        <w:t>en relación con</w:t>
      </w:r>
      <w:r w:rsidR="003A1947" w:rsidRPr="00BB0A7A">
        <w:rPr>
          <w:lang w:val="es-ES_tradnl"/>
        </w:rPr>
        <w:t xml:space="preserve"> los 20 indicadores</w:t>
      </w:r>
      <w:r w:rsidRPr="00BB0A7A">
        <w:rPr>
          <w:lang w:val="es-ES_tradnl"/>
        </w:rPr>
        <w:t xml:space="preserve"> desde el primer informe de progresos</w:t>
      </w:r>
      <w:r w:rsidR="003A1947" w:rsidRPr="00BB0A7A">
        <w:rPr>
          <w:lang w:val="es-ES_tradnl"/>
        </w:rPr>
        <w:t xml:space="preserve"> corresponde a la gestión de desechos peligrosos (indicador 3), que comprende tanto la legislación como la gestión de corrientes de</w:t>
      </w:r>
      <w:r w:rsidRPr="00BB0A7A">
        <w:rPr>
          <w:lang w:val="es-ES_tradnl"/>
        </w:rPr>
        <w:t xml:space="preserve"> desechos concretas. Este aumento</w:t>
      </w:r>
      <w:r w:rsidR="003A1947" w:rsidRPr="00BB0A7A">
        <w:rPr>
          <w:lang w:val="es-ES_tradnl"/>
        </w:rPr>
        <w:t xml:space="preserve"> se confirma con el nivel análogo de progreso que se observa en un indicador conexo, el 20, relativo a la prevención del tráfico ilícito de desechos peligrosos (véase también el objetivo E).</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Al indicador 2 corresponden algunas de las actividades más </w:t>
      </w:r>
      <w:r w:rsidR="00712F08" w:rsidRPr="00BB0A7A">
        <w:rPr>
          <w:lang w:val="es-ES_tradnl"/>
        </w:rPr>
        <w:t xml:space="preserve">seleccionadas </w:t>
      </w:r>
      <w:r w:rsidRPr="00BB0A7A">
        <w:rPr>
          <w:lang w:val="es-ES_tradnl"/>
        </w:rPr>
        <w:t>en el cuestionario del informe sobre los progresos realizad</w:t>
      </w:r>
      <w:r w:rsidR="00712F08" w:rsidRPr="00BB0A7A">
        <w:rPr>
          <w:lang w:val="es-ES_tradnl"/>
        </w:rPr>
        <w:t>os: cerca del 90%</w:t>
      </w:r>
      <w:r w:rsidRPr="00BB0A7A">
        <w:rPr>
          <w:lang w:val="es-ES_tradnl"/>
        </w:rPr>
        <w:t xml:space="preserve"> </w:t>
      </w:r>
      <w:r w:rsidR="00712F08" w:rsidRPr="00BB0A7A">
        <w:rPr>
          <w:lang w:val="es-ES_tradnl"/>
        </w:rPr>
        <w:t xml:space="preserve">de los interesados </w:t>
      </w:r>
      <w:r w:rsidRPr="00BB0A7A">
        <w:rPr>
          <w:lang w:val="es-ES_tradnl"/>
        </w:rPr>
        <w:t>informa de mecanismos para afrontar la cuestión de los contaminantes orgánicos persistentes y los productos químicos usados como plagui</w:t>
      </w:r>
      <w:r w:rsidR="00046476" w:rsidRPr="00BB0A7A">
        <w:rPr>
          <w:lang w:val="es-ES_tradnl"/>
        </w:rPr>
        <w:t>cidas. Un 82%</w:t>
      </w:r>
      <w:r w:rsidRPr="00BB0A7A">
        <w:rPr>
          <w:lang w:val="es-ES_tradnl"/>
        </w:rPr>
        <w:t xml:space="preserve"> </w:t>
      </w:r>
      <w:r w:rsidR="00712F08" w:rsidRPr="00BB0A7A">
        <w:rPr>
          <w:lang w:val="es-ES_tradnl"/>
        </w:rPr>
        <w:t>notifica actividades de</w:t>
      </w:r>
      <w:r w:rsidRPr="00BB0A7A">
        <w:rPr>
          <w:lang w:val="es-ES_tradnl"/>
        </w:rPr>
        <w:t xml:space="preserve"> vigilancia ambiental de los productos químicos (indicador 4). La frecuencia de presentación de informes de vigilancia de incidentes químicos al Enfoque Estratégico en la encuesta del informe sobre los progresos realizados (65% en el segundo informe) mue</w:t>
      </w:r>
      <w:r w:rsidR="00B67FD4" w:rsidRPr="00BB0A7A">
        <w:rPr>
          <w:lang w:val="es-ES_tradnl"/>
        </w:rPr>
        <w:t>stra cierta divergencia con la “vigilancia de sucesos químicos”</w:t>
      </w:r>
      <w:r w:rsidRPr="00BB0A7A">
        <w:rPr>
          <w:lang w:val="es-ES_tradnl"/>
        </w:rPr>
        <w:t xml:space="preserve"> del Reglamento Sanitario Internacional, que obtiene muchas menos respuestas positivas, en especial del continente americano y la región del Mediterráneo Oriental. Sin embargo, según la OMS, la escasez de respuestas positivas recabadas por el Reglamento </w:t>
      </w:r>
      <w:r w:rsidR="00712F08" w:rsidRPr="00BB0A7A">
        <w:rPr>
          <w:lang w:val="es-ES_tradnl"/>
        </w:rPr>
        <w:t>Sanitario Internacional se debió</w:t>
      </w:r>
      <w:r w:rsidRPr="00BB0A7A">
        <w:rPr>
          <w:lang w:val="es-ES_tradnl"/>
        </w:rPr>
        <w:t xml:space="preserve"> a la notificación insuficiente de los encuestados, toda vez que hay 196 Estados Partes en el Reglamento Sani</w:t>
      </w:r>
      <w:r w:rsidR="009F2A69" w:rsidRPr="00BB0A7A">
        <w:rPr>
          <w:lang w:val="es-ES_tradnl"/>
        </w:rPr>
        <w:t>tario Internacional, por lo que </w:t>
      </w:r>
      <w:r w:rsidRPr="00BB0A7A">
        <w:rPr>
          <w:lang w:val="es-ES_tradnl"/>
        </w:rPr>
        <w:t>se llegó a la conclusión de que los países podían mejorar su comunicació</w:t>
      </w:r>
      <w:r w:rsidR="00A04810" w:rsidRPr="00BB0A7A">
        <w:rPr>
          <w:lang w:val="es-ES_tradnl"/>
        </w:rPr>
        <w:t>n interministerial (SAICM/OEWG.</w:t>
      </w:r>
      <w:r w:rsidRPr="00BB0A7A">
        <w:rPr>
          <w:lang w:val="es-ES_tradnl"/>
        </w:rPr>
        <w:t>2/8).</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En el cuadro que figura a continuación se resumen los progresos comunicados respecto de los indicadores de progreso del objetivo A en relación con los elementos básicos definidos en la orientación</w:t>
      </w:r>
      <w:r w:rsidR="00643BA7" w:rsidRPr="00BB0A7A">
        <w:rPr>
          <w:lang w:val="es-ES_tradnl"/>
        </w:rPr>
        <w:t xml:space="preserve"> y las directrices</w:t>
      </w:r>
      <w:r w:rsidRPr="00BB0A7A">
        <w:rPr>
          <w:lang w:val="es-ES_tradnl"/>
        </w:rPr>
        <w:t xml:space="preserve"> general</w:t>
      </w:r>
      <w:r w:rsidR="00643BA7" w:rsidRPr="00BB0A7A">
        <w:rPr>
          <w:lang w:val="es-ES_tradnl"/>
        </w:rPr>
        <w:t>es. Si bien se aprecia cierta concordancia</w:t>
      </w:r>
      <w:r w:rsidR="00C90842" w:rsidRPr="00BB0A7A">
        <w:rPr>
          <w:lang w:val="es-ES_tradnl"/>
        </w:rPr>
        <w:t xml:space="preserve"> en esta relación</w:t>
      </w:r>
      <w:r w:rsidRPr="00BB0A7A">
        <w:rPr>
          <w:lang w:val="es-ES_tradnl"/>
        </w:rPr>
        <w:t>, los interesados tal</w:t>
      </w:r>
      <w:r w:rsidR="00643BA7" w:rsidRPr="00BB0A7A">
        <w:rPr>
          <w:lang w:val="es-ES_tradnl"/>
        </w:rPr>
        <w:t xml:space="preserve"> vez deseen examinar más a fondo</w:t>
      </w:r>
      <w:r w:rsidRPr="00BB0A7A">
        <w:rPr>
          <w:lang w:val="es-ES_tradnl"/>
        </w:rPr>
        <w:t xml:space="preserve"> los indicadores para</w:t>
      </w:r>
      <w:r w:rsidR="00643BA7" w:rsidRPr="00BB0A7A">
        <w:rPr>
          <w:lang w:val="es-ES_tradnl"/>
        </w:rPr>
        <w:t xml:space="preserve"> lograr</w:t>
      </w:r>
      <w:r w:rsidRPr="00BB0A7A">
        <w:rPr>
          <w:lang w:val="es-ES_tradnl"/>
        </w:rPr>
        <w:t xml:space="preserve"> que respondan mejor a los elementos básicos con vistas a la presentación de informes en el futuro. En los gráficos que siguen al cuadro (gráficos II a) a c)) se ofrecen más detalles sobre los progresos logrados respecto de los elementos básicos vinculados al objetivo A.</w:t>
      </w:r>
    </w:p>
    <w:tbl>
      <w:tblPr>
        <w:tblW w:w="0" w:type="auto"/>
        <w:tblInd w:w="1247" w:type="dxa"/>
        <w:tblLayout w:type="fixed"/>
        <w:tblLook w:val="04A0" w:firstRow="1" w:lastRow="0" w:firstColumn="1" w:lastColumn="0" w:noHBand="0" w:noVBand="1"/>
      </w:tblPr>
      <w:tblGrid>
        <w:gridCol w:w="1838"/>
        <w:gridCol w:w="2693"/>
        <w:gridCol w:w="3934"/>
      </w:tblGrid>
      <w:tr w:rsidR="003A1947" w:rsidRPr="009337B3" w:rsidTr="00745DC4">
        <w:trPr>
          <w:trHeight w:val="824"/>
          <w:tblHeader/>
        </w:trPr>
        <w:tc>
          <w:tcPr>
            <w:tcW w:w="1838" w:type="dxa"/>
            <w:tcBorders>
              <w:top w:val="single" w:sz="4" w:space="0" w:color="auto"/>
              <w:bottom w:val="single" w:sz="12" w:space="0" w:color="auto"/>
            </w:tcBorders>
            <w:shd w:val="clear" w:color="auto" w:fill="auto"/>
          </w:tcPr>
          <w:p w:rsidR="003A1947" w:rsidRPr="00BB0A7A" w:rsidRDefault="003A1947">
            <w:pPr>
              <w:pStyle w:val="Normalnumber"/>
              <w:numPr>
                <w:ilvl w:val="0"/>
                <w:numId w:val="0"/>
              </w:numPr>
              <w:rPr>
                <w:rFonts w:eastAsia="SimSun"/>
                <w:i/>
                <w:sz w:val="18"/>
                <w:szCs w:val="18"/>
                <w:lang w:val="es-ES_tradnl"/>
              </w:rPr>
            </w:pPr>
            <w:r w:rsidRPr="00BB0A7A">
              <w:rPr>
                <w:i/>
                <w:sz w:val="18"/>
                <w:lang w:val="es-ES_tradnl"/>
              </w:rPr>
              <w:t>Elemento básico de la orientación y las directrices generales</w:t>
            </w:r>
          </w:p>
        </w:tc>
        <w:tc>
          <w:tcPr>
            <w:tcW w:w="2693" w:type="dxa"/>
            <w:tcBorders>
              <w:top w:val="single" w:sz="4" w:space="0" w:color="auto"/>
              <w:bottom w:val="single" w:sz="12" w:space="0" w:color="auto"/>
            </w:tcBorders>
            <w:shd w:val="clear" w:color="auto" w:fill="auto"/>
          </w:tcPr>
          <w:p w:rsidR="009F2A69" w:rsidRPr="00BB0A7A" w:rsidRDefault="003A1947" w:rsidP="00C27D6A">
            <w:pPr>
              <w:pStyle w:val="Normalnumber"/>
              <w:numPr>
                <w:ilvl w:val="0"/>
                <w:numId w:val="0"/>
              </w:numPr>
              <w:spacing w:after="0"/>
              <w:rPr>
                <w:rFonts w:eastAsia="SimSun"/>
                <w:i/>
                <w:sz w:val="18"/>
                <w:szCs w:val="18"/>
                <w:lang w:val="es-ES_tradnl"/>
              </w:rPr>
            </w:pPr>
            <w:r w:rsidRPr="00BB0A7A">
              <w:rPr>
                <w:i/>
                <w:sz w:val="18"/>
                <w:lang w:val="es-ES_tradnl"/>
              </w:rPr>
              <w:t>Indicadores de progresos y cuestiones pertinentes</w:t>
            </w:r>
          </w:p>
          <w:p w:rsidR="003A1947" w:rsidRPr="00BB0A7A" w:rsidRDefault="009F2A69">
            <w:pPr>
              <w:pStyle w:val="Normalnumber"/>
              <w:numPr>
                <w:ilvl w:val="0"/>
                <w:numId w:val="0"/>
              </w:numPr>
              <w:rPr>
                <w:rFonts w:eastAsia="SimSun"/>
                <w:i/>
                <w:sz w:val="18"/>
                <w:szCs w:val="18"/>
                <w:lang w:val="es-ES_tradnl"/>
              </w:rPr>
            </w:pPr>
            <w:r w:rsidRPr="00BB0A7A">
              <w:rPr>
                <w:i/>
                <w:sz w:val="18"/>
                <w:lang w:val="es-ES_tradnl"/>
              </w:rPr>
              <w:t>(objetivo </w:t>
            </w:r>
            <w:r w:rsidR="00FB2029" w:rsidRPr="00BB0A7A">
              <w:rPr>
                <w:i/>
                <w:sz w:val="18"/>
                <w:lang w:val="es-ES_tradnl"/>
              </w:rPr>
              <w:t>A)</w:t>
            </w:r>
          </w:p>
        </w:tc>
        <w:tc>
          <w:tcPr>
            <w:tcW w:w="3934" w:type="dxa"/>
            <w:tcBorders>
              <w:top w:val="single" w:sz="4" w:space="0" w:color="auto"/>
              <w:bottom w:val="single" w:sz="12" w:space="0" w:color="auto"/>
            </w:tcBorders>
            <w:shd w:val="clear" w:color="auto" w:fill="auto"/>
          </w:tcPr>
          <w:p w:rsidR="003A1947" w:rsidRPr="00BB0A7A" w:rsidRDefault="005610D2">
            <w:pPr>
              <w:pStyle w:val="Normalnumber"/>
              <w:numPr>
                <w:ilvl w:val="0"/>
                <w:numId w:val="0"/>
              </w:numPr>
              <w:rPr>
                <w:rFonts w:eastAsia="SimSun"/>
                <w:i/>
                <w:sz w:val="18"/>
                <w:szCs w:val="18"/>
                <w:lang w:val="es-ES_tradnl"/>
              </w:rPr>
            </w:pPr>
            <w:r w:rsidRPr="00BB0A7A">
              <w:rPr>
                <w:i/>
                <w:sz w:val="18"/>
                <w:lang w:val="es-ES_tradnl"/>
              </w:rPr>
              <w:t>Progresos logrados</w:t>
            </w:r>
            <w:r w:rsidR="003A1947" w:rsidRPr="00BB0A7A">
              <w:rPr>
                <w:i/>
                <w:sz w:val="18"/>
                <w:lang w:val="es-ES_tradnl"/>
              </w:rPr>
              <w:t xml:space="preserve"> entre el primer y el segundo período de presentación de informes (incluidos los casos de éxito a nivel regional)</w:t>
            </w:r>
          </w:p>
        </w:tc>
      </w:tr>
      <w:tr w:rsidR="003A1947" w:rsidRPr="00BB0A7A">
        <w:tc>
          <w:tcPr>
            <w:tcW w:w="1838" w:type="dxa"/>
            <w:tcBorders>
              <w:top w:val="single" w:sz="12" w:space="0" w:color="auto"/>
            </w:tcBorders>
            <w:shd w:val="clear" w:color="auto" w:fill="auto"/>
          </w:tcPr>
          <w:p w:rsidR="003A1947" w:rsidRPr="00BB0A7A" w:rsidRDefault="00643BA7" w:rsidP="006A0E4D">
            <w:pPr>
              <w:pStyle w:val="Normalnumber"/>
              <w:numPr>
                <w:ilvl w:val="0"/>
                <w:numId w:val="0"/>
              </w:numPr>
              <w:rPr>
                <w:rFonts w:eastAsia="SimSun"/>
                <w:sz w:val="18"/>
                <w:szCs w:val="18"/>
                <w:lang w:val="es-ES_tradnl"/>
              </w:rPr>
            </w:pPr>
            <w:r w:rsidRPr="00BB0A7A">
              <w:rPr>
                <w:sz w:val="18"/>
                <w:lang w:val="es-ES_tradnl"/>
              </w:rPr>
              <w:t>I</w:t>
            </w:r>
            <w:r w:rsidR="001B1678" w:rsidRPr="00BB0A7A">
              <w:rPr>
                <w:sz w:val="18"/>
                <w:lang w:val="es-ES_tradnl"/>
              </w:rPr>
              <w:t>.</w:t>
            </w:r>
            <w:r w:rsidRPr="00BB0A7A">
              <w:rPr>
                <w:sz w:val="18"/>
                <w:lang w:val="es-ES_tradnl"/>
              </w:rPr>
              <w:t xml:space="preserve"> M</w:t>
            </w:r>
            <w:r w:rsidR="00713EB7" w:rsidRPr="00BB0A7A">
              <w:rPr>
                <w:sz w:val="18"/>
                <w:lang w:val="es-ES_tradnl"/>
              </w:rPr>
              <w:t>arcos jurídicos que traten</w:t>
            </w:r>
            <w:r w:rsidR="003A1947" w:rsidRPr="00BB0A7A">
              <w:rPr>
                <w:sz w:val="18"/>
                <w:lang w:val="es-ES_tradnl"/>
              </w:rPr>
              <w:t xml:space="preserve"> la cuestión del ciclo de vida de los productos químicos y los desechos</w:t>
            </w:r>
          </w:p>
        </w:tc>
        <w:tc>
          <w:tcPr>
            <w:tcW w:w="2693" w:type="dxa"/>
            <w:tcBorders>
              <w:top w:val="single" w:sz="12" w:space="0" w:color="auto"/>
            </w:tcBorders>
            <w:shd w:val="clear" w:color="auto" w:fill="auto"/>
          </w:tcPr>
          <w:p w:rsidR="003A1947" w:rsidRPr="00BB0A7A" w:rsidRDefault="003A1947" w:rsidP="006A0E4D">
            <w:pPr>
              <w:pStyle w:val="Normalnumber"/>
              <w:numPr>
                <w:ilvl w:val="0"/>
                <w:numId w:val="0"/>
              </w:numPr>
              <w:rPr>
                <w:rFonts w:eastAsia="SimSun"/>
                <w:sz w:val="18"/>
                <w:szCs w:val="18"/>
                <w:lang w:val="es-ES_tradnl"/>
              </w:rPr>
            </w:pPr>
            <w:r w:rsidRPr="00BB0A7A">
              <w:rPr>
                <w:sz w:val="18"/>
                <w:lang w:val="es-ES_tradnl"/>
              </w:rPr>
              <w:t>Cubierto en parte (lo correspondiente a los desechos) por el indicador 3, relativo a la legislación o los permisos, que comprende lo siguiente:</w:t>
            </w:r>
          </w:p>
          <w:p w:rsidR="003A1947" w:rsidRPr="00BB0A7A" w:rsidRDefault="00FB2029" w:rsidP="006A0E4D">
            <w:pPr>
              <w:pStyle w:val="Normalnumber"/>
              <w:numPr>
                <w:ilvl w:val="0"/>
                <w:numId w:val="0"/>
              </w:numPr>
              <w:rPr>
                <w:rFonts w:eastAsia="SimSun"/>
                <w:sz w:val="18"/>
                <w:szCs w:val="18"/>
                <w:lang w:val="es-ES_tradnl"/>
              </w:rPr>
            </w:pPr>
            <w:r w:rsidRPr="00BB0A7A">
              <w:rPr>
                <w:sz w:val="18"/>
                <w:lang w:val="es-ES_tradnl"/>
              </w:rPr>
              <w:t>a) etapas del ciclo de gestión de los desechos peligrosos</w:t>
            </w:r>
          </w:p>
          <w:p w:rsidR="003A1947" w:rsidRPr="00BB0A7A" w:rsidRDefault="00FB2029" w:rsidP="006A0E4D">
            <w:pPr>
              <w:pStyle w:val="Normalnumber"/>
              <w:numPr>
                <w:ilvl w:val="0"/>
                <w:numId w:val="0"/>
              </w:numPr>
              <w:rPr>
                <w:rFonts w:eastAsia="SimSun"/>
                <w:sz w:val="18"/>
                <w:szCs w:val="18"/>
                <w:lang w:val="es-ES_tradnl"/>
              </w:rPr>
            </w:pPr>
            <w:r w:rsidRPr="00BB0A7A">
              <w:rPr>
                <w:sz w:val="18"/>
                <w:lang w:val="es-ES_tradnl"/>
              </w:rPr>
              <w:t>b) corrientes de desechos peligrosos</w:t>
            </w:r>
          </w:p>
        </w:tc>
        <w:tc>
          <w:tcPr>
            <w:tcW w:w="3934" w:type="dxa"/>
            <w:tcBorders>
              <w:top w:val="single" w:sz="12" w:space="0" w:color="auto"/>
            </w:tcBorders>
            <w:shd w:val="clear" w:color="auto" w:fill="auto"/>
          </w:tcPr>
          <w:p w:rsidR="003A1947" w:rsidRPr="00BB0A7A" w:rsidRDefault="00FB2029" w:rsidP="006A0E4D">
            <w:pPr>
              <w:pStyle w:val="Normalnumber"/>
              <w:numPr>
                <w:ilvl w:val="0"/>
                <w:numId w:val="0"/>
              </w:numPr>
              <w:rPr>
                <w:rFonts w:eastAsia="SimSun"/>
                <w:sz w:val="18"/>
                <w:szCs w:val="18"/>
                <w:lang w:val="es-ES_tradnl"/>
              </w:rPr>
            </w:pPr>
            <w:r w:rsidRPr="00BB0A7A">
              <w:rPr>
                <w:sz w:val="18"/>
                <w:lang w:val="es-ES_tradnl"/>
              </w:rPr>
              <w:t>a) aumento de entr</w:t>
            </w:r>
            <w:r w:rsidR="00013F96" w:rsidRPr="00BB0A7A">
              <w:rPr>
                <w:sz w:val="18"/>
                <w:lang w:val="es-ES_tradnl"/>
              </w:rPr>
              <w:t>e un 5% y un 18% para distintas </w:t>
            </w:r>
            <w:r w:rsidRPr="00BB0A7A">
              <w:rPr>
                <w:sz w:val="18"/>
                <w:lang w:val="es-ES_tradnl"/>
              </w:rPr>
              <w:t>etapas</w:t>
            </w:r>
          </w:p>
          <w:p w:rsidR="003A1947" w:rsidRPr="00BB0A7A" w:rsidRDefault="00FB2029" w:rsidP="006A0E4D">
            <w:pPr>
              <w:pStyle w:val="Normalnumber"/>
              <w:numPr>
                <w:ilvl w:val="0"/>
                <w:numId w:val="0"/>
              </w:numPr>
              <w:rPr>
                <w:rFonts w:eastAsia="SimSun"/>
                <w:sz w:val="18"/>
                <w:szCs w:val="18"/>
                <w:lang w:val="es-ES_tradnl"/>
              </w:rPr>
            </w:pPr>
            <w:r w:rsidRPr="00BB0A7A">
              <w:rPr>
                <w:sz w:val="18"/>
                <w:lang w:val="es-ES_tradnl"/>
              </w:rPr>
              <w:t>b) aumento de entr</w:t>
            </w:r>
            <w:r w:rsidR="00013F96" w:rsidRPr="00BB0A7A">
              <w:rPr>
                <w:sz w:val="18"/>
                <w:lang w:val="es-ES_tradnl"/>
              </w:rPr>
              <w:t>e un 5% y un 19% para distintas </w:t>
            </w:r>
            <w:r w:rsidRPr="00BB0A7A">
              <w:rPr>
                <w:sz w:val="18"/>
                <w:lang w:val="es-ES_tradnl"/>
              </w:rPr>
              <w:t>corrientes</w:t>
            </w:r>
          </w:p>
          <w:p w:rsidR="003A1947" w:rsidRPr="00BB0A7A" w:rsidRDefault="003A1947" w:rsidP="00B108BE">
            <w:pPr>
              <w:pStyle w:val="Normalnumber"/>
              <w:numPr>
                <w:ilvl w:val="0"/>
                <w:numId w:val="0"/>
              </w:numPr>
              <w:rPr>
                <w:rFonts w:eastAsia="SimSun"/>
                <w:sz w:val="18"/>
                <w:szCs w:val="18"/>
                <w:lang w:val="es-ES_tradnl"/>
              </w:rPr>
            </w:pPr>
            <w:r w:rsidRPr="00BB0A7A">
              <w:rPr>
                <w:sz w:val="18"/>
                <w:lang w:val="es-ES_tradnl"/>
              </w:rPr>
              <w:t>(</w:t>
            </w:r>
            <w:r w:rsidR="001B1678" w:rsidRPr="00BB0A7A">
              <w:rPr>
                <w:sz w:val="18"/>
                <w:lang w:val="es-ES_tradnl"/>
              </w:rPr>
              <w:t xml:space="preserve">véase </w:t>
            </w:r>
            <w:r w:rsidRPr="00BB0A7A">
              <w:rPr>
                <w:sz w:val="18"/>
                <w:lang w:val="es-ES_tradnl"/>
              </w:rPr>
              <w:t>gráfico II a))</w:t>
            </w:r>
          </w:p>
        </w:tc>
      </w:tr>
      <w:tr w:rsidR="003A1947" w:rsidRPr="009337B3">
        <w:tc>
          <w:tcPr>
            <w:tcW w:w="1838" w:type="dxa"/>
            <w:shd w:val="clear" w:color="auto" w:fill="auto"/>
          </w:tcPr>
          <w:p w:rsidR="003A1947" w:rsidRPr="00BB0A7A" w:rsidRDefault="00C25F30">
            <w:pPr>
              <w:pStyle w:val="Normalnumber"/>
              <w:numPr>
                <w:ilvl w:val="0"/>
                <w:numId w:val="0"/>
              </w:numPr>
              <w:rPr>
                <w:rFonts w:eastAsia="SimSun"/>
                <w:sz w:val="18"/>
                <w:szCs w:val="18"/>
                <w:lang w:val="es-ES_tradnl"/>
              </w:rPr>
            </w:pPr>
            <w:r w:rsidRPr="00BB0A7A">
              <w:rPr>
                <w:sz w:val="18"/>
                <w:lang w:val="es-ES_tradnl"/>
              </w:rPr>
              <w:t>VIII</w:t>
            </w:r>
            <w:r w:rsidR="001B1678" w:rsidRPr="00BB0A7A">
              <w:rPr>
                <w:sz w:val="18"/>
                <w:lang w:val="es-ES_tradnl"/>
              </w:rPr>
              <w:t>.</w:t>
            </w:r>
            <w:r w:rsidRPr="00BB0A7A">
              <w:rPr>
                <w:sz w:val="18"/>
                <w:lang w:val="es-ES_tradnl"/>
              </w:rPr>
              <w:t xml:space="preserve"> Evaluación y reducción de los riesgos que entrañan los</w:t>
            </w:r>
            <w:r w:rsidR="00013F96" w:rsidRPr="00BB0A7A">
              <w:rPr>
                <w:sz w:val="18"/>
                <w:lang w:val="es-ES_tradnl"/>
              </w:rPr>
              <w:t xml:space="preserve"> productos químicos mediante el uso de mejores </w:t>
            </w:r>
            <w:r w:rsidRPr="00BB0A7A">
              <w:rPr>
                <w:sz w:val="18"/>
                <w:lang w:val="es-ES_tradnl"/>
              </w:rPr>
              <w:t>prácticas</w:t>
            </w:r>
          </w:p>
        </w:tc>
        <w:tc>
          <w:tcPr>
            <w:tcW w:w="2693" w:type="dxa"/>
            <w:shd w:val="clear" w:color="auto" w:fill="auto"/>
          </w:tcPr>
          <w:p w:rsidR="003A1947" w:rsidRPr="00BB0A7A" w:rsidRDefault="003A1947" w:rsidP="006A0E4D">
            <w:pPr>
              <w:pStyle w:val="Normalnumber"/>
              <w:numPr>
                <w:ilvl w:val="0"/>
                <w:numId w:val="0"/>
              </w:numPr>
              <w:rPr>
                <w:rFonts w:eastAsia="SimSun"/>
                <w:sz w:val="18"/>
                <w:szCs w:val="18"/>
                <w:lang w:val="es-ES_tradnl"/>
              </w:rPr>
            </w:pPr>
            <w:r w:rsidRPr="00BB0A7A">
              <w:rPr>
                <w:sz w:val="18"/>
                <w:lang w:val="es-ES_tradnl"/>
              </w:rPr>
              <w:t>Indicador 1 relativo al uso de instrumentos y orientación</w:t>
            </w:r>
          </w:p>
          <w:p w:rsidR="003A1947" w:rsidRPr="00BB0A7A" w:rsidRDefault="003A1947" w:rsidP="00013F96">
            <w:pPr>
              <w:pStyle w:val="Normalnumber"/>
              <w:numPr>
                <w:ilvl w:val="0"/>
                <w:numId w:val="0"/>
              </w:numPr>
              <w:rPr>
                <w:rFonts w:eastAsia="SimSun"/>
                <w:sz w:val="18"/>
                <w:szCs w:val="18"/>
                <w:lang w:val="es-ES_tradnl"/>
              </w:rPr>
            </w:pPr>
            <w:r w:rsidRPr="00BB0A7A">
              <w:rPr>
                <w:sz w:val="18"/>
                <w:lang w:val="es-ES_tradnl"/>
              </w:rPr>
              <w:t>Indicador 5 relativo a la evaluación de los riesgos con base</w:t>
            </w:r>
            <w:r w:rsidR="00013F96" w:rsidRPr="00BB0A7A">
              <w:rPr>
                <w:sz w:val="18"/>
                <w:lang w:val="es-ES_tradnl"/>
              </w:rPr>
              <w:t> </w:t>
            </w:r>
            <w:r w:rsidRPr="00BB0A7A">
              <w:rPr>
                <w:sz w:val="18"/>
                <w:lang w:val="es-ES_tradnl"/>
              </w:rPr>
              <w:t>científica</w:t>
            </w:r>
          </w:p>
        </w:tc>
        <w:tc>
          <w:tcPr>
            <w:tcW w:w="3934" w:type="dxa"/>
            <w:shd w:val="clear" w:color="auto" w:fill="auto"/>
          </w:tcPr>
          <w:p w:rsidR="003A1947" w:rsidRPr="00BB0A7A" w:rsidRDefault="003A1947" w:rsidP="006A0E4D">
            <w:pPr>
              <w:pStyle w:val="Normalnumber"/>
              <w:numPr>
                <w:ilvl w:val="0"/>
                <w:numId w:val="0"/>
              </w:numPr>
              <w:rPr>
                <w:rFonts w:eastAsia="SimSun"/>
                <w:sz w:val="18"/>
                <w:szCs w:val="18"/>
                <w:lang w:val="es-ES_tradnl"/>
              </w:rPr>
            </w:pPr>
            <w:r w:rsidRPr="00BB0A7A">
              <w:rPr>
                <w:sz w:val="18"/>
                <w:lang w:val="es-ES_tradnl"/>
              </w:rPr>
              <w:t xml:space="preserve">Indicador 1: América Latina y el Caribe comunican una duplicación del uso de </w:t>
            </w:r>
            <w:proofErr w:type="spellStart"/>
            <w:r w:rsidRPr="00BB0A7A">
              <w:rPr>
                <w:sz w:val="18"/>
                <w:lang w:val="es-ES_tradnl"/>
              </w:rPr>
              <w:t>eChem</w:t>
            </w:r>
            <w:proofErr w:type="spellEnd"/>
            <w:r w:rsidRPr="00BB0A7A">
              <w:rPr>
                <w:sz w:val="18"/>
                <w:lang w:val="es-ES_tradnl"/>
              </w:rPr>
              <w:t xml:space="preserve"> y </w:t>
            </w:r>
            <w:r w:rsidR="00643BA7" w:rsidRPr="00BB0A7A">
              <w:rPr>
                <w:sz w:val="18"/>
                <w:lang w:val="es-ES_tradnl"/>
              </w:rPr>
              <w:t xml:space="preserve">de </w:t>
            </w:r>
            <w:r w:rsidRPr="00BB0A7A">
              <w:rPr>
                <w:sz w:val="18"/>
                <w:lang w:val="es-ES_tradnl"/>
              </w:rPr>
              <w:t xml:space="preserve">las directrices de la </w:t>
            </w:r>
            <w:r w:rsidR="001B1678" w:rsidRPr="00BB0A7A">
              <w:rPr>
                <w:sz w:val="18"/>
                <w:lang w:val="es-ES_tradnl"/>
              </w:rPr>
              <w:t xml:space="preserve">Organización de Cooperación y Desarrollo Económicos </w:t>
            </w:r>
            <w:r w:rsidRPr="00BB0A7A">
              <w:rPr>
                <w:sz w:val="18"/>
                <w:lang w:val="es-ES_tradnl"/>
              </w:rPr>
              <w:t>para los ensayos en el segundo período de presentación de informes</w:t>
            </w:r>
          </w:p>
          <w:p w:rsidR="003A1947" w:rsidRPr="00BB0A7A" w:rsidRDefault="003A1947">
            <w:pPr>
              <w:pStyle w:val="Normalnumber"/>
              <w:numPr>
                <w:ilvl w:val="0"/>
                <w:numId w:val="0"/>
              </w:numPr>
              <w:rPr>
                <w:rFonts w:eastAsia="SimSun"/>
                <w:sz w:val="18"/>
                <w:szCs w:val="18"/>
                <w:lang w:val="es-ES_tradnl"/>
              </w:rPr>
            </w:pPr>
            <w:r w:rsidRPr="00BB0A7A">
              <w:rPr>
                <w:sz w:val="18"/>
                <w:lang w:val="es-ES_tradnl"/>
              </w:rPr>
              <w:t>Indicador 5: Europa Central y Orient</w:t>
            </w:r>
            <w:r w:rsidR="00B909A4" w:rsidRPr="00BB0A7A">
              <w:rPr>
                <w:sz w:val="18"/>
                <w:lang w:val="es-ES_tradnl"/>
              </w:rPr>
              <w:t>al comunican el doble de</w:t>
            </w:r>
            <w:r w:rsidRPr="00BB0A7A">
              <w:rPr>
                <w:sz w:val="18"/>
                <w:lang w:val="es-ES_tradnl"/>
              </w:rPr>
              <w:t xml:space="preserve"> evaluaci</w:t>
            </w:r>
            <w:r w:rsidR="00013F96" w:rsidRPr="00BB0A7A">
              <w:rPr>
                <w:sz w:val="18"/>
                <w:lang w:val="es-ES_tradnl"/>
              </w:rPr>
              <w:t>ones con base científica de los </w:t>
            </w:r>
            <w:r w:rsidRPr="00BB0A7A">
              <w:rPr>
                <w:sz w:val="18"/>
                <w:lang w:val="es-ES_tradnl"/>
              </w:rPr>
              <w:t>productos químicos industriales en el segundo per</w:t>
            </w:r>
            <w:r w:rsidR="00B909A4" w:rsidRPr="00BB0A7A">
              <w:rPr>
                <w:sz w:val="18"/>
                <w:lang w:val="es-ES_tradnl"/>
              </w:rPr>
              <w:t>íodo de presentación de informes</w:t>
            </w:r>
            <w:r w:rsidR="00013F96" w:rsidRPr="00BB0A7A">
              <w:rPr>
                <w:sz w:val="18"/>
                <w:lang w:val="es-ES_tradnl"/>
              </w:rPr>
              <w:t xml:space="preserve"> respecto del </w:t>
            </w:r>
            <w:r w:rsidRPr="00BB0A7A">
              <w:rPr>
                <w:sz w:val="18"/>
                <w:lang w:val="es-ES_tradnl"/>
              </w:rPr>
              <w:t>primero</w:t>
            </w:r>
          </w:p>
        </w:tc>
      </w:tr>
      <w:tr w:rsidR="003A1947" w:rsidRPr="009337B3">
        <w:tc>
          <w:tcPr>
            <w:tcW w:w="1838" w:type="dxa"/>
            <w:tcBorders>
              <w:bottom w:val="single" w:sz="12" w:space="0" w:color="auto"/>
            </w:tcBorders>
            <w:shd w:val="clear" w:color="auto" w:fill="auto"/>
          </w:tcPr>
          <w:p w:rsidR="003A1947" w:rsidRPr="00BB0A7A" w:rsidRDefault="00C25F30">
            <w:pPr>
              <w:pStyle w:val="Normalnumber"/>
              <w:keepNext/>
              <w:keepLines/>
              <w:numPr>
                <w:ilvl w:val="0"/>
                <w:numId w:val="0"/>
              </w:numPr>
              <w:rPr>
                <w:rFonts w:eastAsia="SimSun"/>
                <w:sz w:val="18"/>
                <w:szCs w:val="18"/>
                <w:lang w:val="es-ES_tradnl"/>
              </w:rPr>
            </w:pPr>
            <w:r w:rsidRPr="00BB0A7A">
              <w:rPr>
                <w:sz w:val="18"/>
                <w:lang w:val="es-ES_tradnl"/>
              </w:rPr>
              <w:t>X</w:t>
            </w:r>
            <w:r w:rsidR="001B1678" w:rsidRPr="00BB0A7A">
              <w:rPr>
                <w:sz w:val="18"/>
                <w:lang w:val="es-ES_tradnl"/>
              </w:rPr>
              <w:t>.</w:t>
            </w:r>
            <w:r w:rsidRPr="00BB0A7A">
              <w:rPr>
                <w:sz w:val="18"/>
                <w:lang w:val="es-ES_tradnl"/>
              </w:rPr>
              <w:t xml:space="preserve"> Vigilancia y evaluación de los efectos de los productos </w:t>
            </w:r>
            <w:r w:rsidR="00013F96" w:rsidRPr="00BB0A7A">
              <w:rPr>
                <w:sz w:val="18"/>
                <w:lang w:val="es-ES_tradnl"/>
              </w:rPr>
              <w:t>químicos en la salud y el medio </w:t>
            </w:r>
            <w:r w:rsidRPr="00BB0A7A">
              <w:rPr>
                <w:sz w:val="18"/>
                <w:lang w:val="es-ES_tradnl"/>
              </w:rPr>
              <w:t>ambiente</w:t>
            </w:r>
          </w:p>
        </w:tc>
        <w:tc>
          <w:tcPr>
            <w:tcW w:w="2693" w:type="dxa"/>
            <w:tcBorders>
              <w:bottom w:val="single" w:sz="12" w:space="0" w:color="auto"/>
            </w:tcBorders>
            <w:shd w:val="clear" w:color="auto" w:fill="auto"/>
          </w:tcPr>
          <w:p w:rsidR="003A1947" w:rsidRPr="00BB0A7A" w:rsidRDefault="003A1947" w:rsidP="00A04810">
            <w:pPr>
              <w:pStyle w:val="Normalnumber"/>
              <w:keepNext/>
              <w:keepLines/>
              <w:numPr>
                <w:ilvl w:val="0"/>
                <w:numId w:val="0"/>
              </w:numPr>
              <w:rPr>
                <w:rFonts w:eastAsia="SimSun"/>
                <w:sz w:val="18"/>
                <w:szCs w:val="18"/>
                <w:lang w:val="es-ES_tradnl"/>
              </w:rPr>
            </w:pPr>
            <w:r w:rsidRPr="00BB0A7A">
              <w:rPr>
                <w:sz w:val="18"/>
                <w:lang w:val="es-ES_tradnl"/>
              </w:rPr>
              <w:t>Indicador 4 relativo a la vigilancia en materia de salud y medio ambiente</w:t>
            </w:r>
          </w:p>
          <w:p w:rsidR="003A1947" w:rsidRPr="00BB0A7A" w:rsidRDefault="003A1947" w:rsidP="00A04810">
            <w:pPr>
              <w:pStyle w:val="Normalnumber"/>
              <w:keepNext/>
              <w:keepLines/>
              <w:numPr>
                <w:ilvl w:val="0"/>
                <w:numId w:val="0"/>
              </w:numPr>
              <w:rPr>
                <w:rFonts w:eastAsia="SimSun"/>
                <w:sz w:val="18"/>
                <w:szCs w:val="18"/>
                <w:lang w:val="es-ES_tradnl"/>
              </w:rPr>
            </w:pPr>
          </w:p>
          <w:p w:rsidR="003A1947" w:rsidRPr="00BB0A7A" w:rsidRDefault="003A1947" w:rsidP="00A04810">
            <w:pPr>
              <w:pStyle w:val="Normalnumber"/>
              <w:keepNext/>
              <w:keepLines/>
              <w:numPr>
                <w:ilvl w:val="0"/>
                <w:numId w:val="0"/>
              </w:numPr>
              <w:rPr>
                <w:rFonts w:eastAsia="SimSun"/>
                <w:sz w:val="18"/>
                <w:szCs w:val="18"/>
                <w:lang w:val="es-ES_tradnl"/>
              </w:rPr>
            </w:pPr>
            <w:r w:rsidRPr="00BB0A7A">
              <w:rPr>
                <w:sz w:val="18"/>
                <w:lang w:val="es-ES_tradnl"/>
              </w:rPr>
              <w:t>(véase también el objetivo B)</w:t>
            </w:r>
          </w:p>
        </w:tc>
        <w:tc>
          <w:tcPr>
            <w:tcW w:w="3934" w:type="dxa"/>
            <w:tcBorders>
              <w:bottom w:val="single" w:sz="12" w:space="0" w:color="auto"/>
            </w:tcBorders>
            <w:shd w:val="clear" w:color="auto" w:fill="auto"/>
          </w:tcPr>
          <w:p w:rsidR="003A1947" w:rsidRPr="00BB0A7A" w:rsidRDefault="003A1947" w:rsidP="00A04810">
            <w:pPr>
              <w:pStyle w:val="Normalnumber"/>
              <w:keepNext/>
              <w:keepLines/>
              <w:numPr>
                <w:ilvl w:val="0"/>
                <w:numId w:val="0"/>
              </w:numPr>
              <w:rPr>
                <w:rFonts w:eastAsia="SimSun"/>
                <w:sz w:val="18"/>
                <w:szCs w:val="18"/>
                <w:lang w:val="es-ES_tradnl"/>
              </w:rPr>
            </w:pPr>
            <w:r w:rsidRPr="00BB0A7A">
              <w:rPr>
                <w:sz w:val="18"/>
                <w:lang w:val="es-ES_tradnl"/>
              </w:rPr>
              <w:t>Vigilancia del medio ambiente: 82% de todos l</w:t>
            </w:r>
            <w:r w:rsidR="00B909A4" w:rsidRPr="00BB0A7A">
              <w:rPr>
                <w:sz w:val="18"/>
                <w:lang w:val="es-ES_tradnl"/>
              </w:rPr>
              <w:t>os informantes</w:t>
            </w:r>
            <w:r w:rsidRPr="00BB0A7A">
              <w:rPr>
                <w:sz w:val="18"/>
                <w:lang w:val="es-ES_tradnl"/>
              </w:rPr>
              <w:t>, lo que representa un aumento del 5%</w:t>
            </w:r>
          </w:p>
          <w:p w:rsidR="003A1947" w:rsidRPr="00BB0A7A" w:rsidRDefault="003A1947" w:rsidP="00A04810">
            <w:pPr>
              <w:pStyle w:val="Normalnumber"/>
              <w:keepNext/>
              <w:keepLines/>
              <w:numPr>
                <w:ilvl w:val="0"/>
                <w:numId w:val="0"/>
              </w:numPr>
              <w:rPr>
                <w:rFonts w:eastAsia="SimSun"/>
                <w:sz w:val="18"/>
                <w:szCs w:val="18"/>
                <w:lang w:val="es-ES_tradnl"/>
              </w:rPr>
            </w:pPr>
            <w:r w:rsidRPr="00BB0A7A">
              <w:rPr>
                <w:sz w:val="18"/>
                <w:lang w:val="es-ES_tradnl"/>
              </w:rPr>
              <w:t>Accidentes químicos: 11% de incremento general (20% en América Latina y el Caribe)</w:t>
            </w:r>
          </w:p>
        </w:tc>
      </w:tr>
    </w:tbl>
    <w:p w:rsidR="003A1947" w:rsidRPr="00BB0A7A" w:rsidRDefault="00A64570" w:rsidP="00745DC4">
      <w:pPr>
        <w:pStyle w:val="Titletable"/>
        <w:spacing w:before="240"/>
        <w:rPr>
          <w:rFonts w:eastAsia="SimSun"/>
          <w:noProof/>
          <w:lang w:val="es-ES_tradnl"/>
        </w:rPr>
      </w:pPr>
      <w:r w:rsidRPr="00BB0A7A">
        <w:rPr>
          <w:b w:val="0"/>
          <w:lang w:val="es-ES_tradnl"/>
        </w:rPr>
        <w:t>Gráfico II</w:t>
      </w:r>
      <w:r w:rsidR="005827D3" w:rsidRPr="00BB0A7A">
        <w:rPr>
          <w:b w:val="0"/>
          <w:lang w:val="es-ES_tradnl"/>
        </w:rPr>
        <w:br/>
      </w:r>
      <w:r w:rsidR="00B909A4" w:rsidRPr="00BB0A7A">
        <w:rPr>
          <w:lang w:val="es-ES_tradnl"/>
        </w:rPr>
        <w:t>Au</w:t>
      </w:r>
      <w:r w:rsidR="00B17FA7" w:rsidRPr="00BB0A7A">
        <w:rPr>
          <w:lang w:val="es-ES_tradnl"/>
        </w:rPr>
        <w:t>mento del porcentaje</w:t>
      </w:r>
      <w:r w:rsidR="00B909A4" w:rsidRPr="00BB0A7A">
        <w:rPr>
          <w:lang w:val="es-ES_tradnl"/>
        </w:rPr>
        <w:t xml:space="preserve"> de interesados que selecciona</w:t>
      </w:r>
      <w:r w:rsidR="00B17FA7" w:rsidRPr="00BB0A7A">
        <w:rPr>
          <w:lang w:val="es-ES_tradnl"/>
        </w:rPr>
        <w:t xml:space="preserve">n opciones </w:t>
      </w:r>
      <w:r w:rsidR="00013F96" w:rsidRPr="00BB0A7A">
        <w:rPr>
          <w:lang w:val="es-ES_tradnl"/>
        </w:rPr>
        <w:t>relativas a los indicadores del </w:t>
      </w:r>
      <w:r w:rsidR="00B17FA7" w:rsidRPr="00BB0A7A">
        <w:rPr>
          <w:lang w:val="es-ES_tradnl"/>
        </w:rPr>
        <w:t>objetivo A (</w:t>
      </w:r>
      <w:r w:rsidR="00CB2772" w:rsidRPr="00BB0A7A">
        <w:rPr>
          <w:lang w:val="es-ES_tradnl"/>
        </w:rPr>
        <w:t xml:space="preserve">Comparación entre el segundo y el primer </w:t>
      </w:r>
      <w:r w:rsidR="001B1678" w:rsidRPr="00BB0A7A">
        <w:rPr>
          <w:lang w:val="es-ES_tradnl"/>
        </w:rPr>
        <w:t>período de presentación de informes</w:t>
      </w:r>
      <w:r w:rsidR="00B17FA7" w:rsidRPr="00BB0A7A">
        <w:rPr>
          <w:lang w:val="es-ES_tradnl"/>
        </w:rPr>
        <w:t>)</w:t>
      </w:r>
    </w:p>
    <w:p w:rsidR="00CC4305" w:rsidRDefault="00CC4305" w:rsidP="009D4BB8">
      <w:pPr>
        <w:pStyle w:val="Normalnumber"/>
        <w:keepNext/>
        <w:keepLines/>
        <w:numPr>
          <w:ilvl w:val="1"/>
          <w:numId w:val="8"/>
        </w:numPr>
        <w:spacing w:before="240" w:after="80"/>
        <w:ind w:left="1247" w:firstLine="0"/>
        <w:rPr>
          <w:b/>
          <w:lang w:val="es-ES_tradnl"/>
        </w:rPr>
      </w:pPr>
      <w:r w:rsidRPr="00BB0A7A">
        <w:rPr>
          <w:b/>
          <w:lang w:val="es-ES_tradnl"/>
        </w:rPr>
        <w:t>Progresos en el uso de</w:t>
      </w:r>
      <w:r w:rsidR="00B909A4" w:rsidRPr="00BB0A7A">
        <w:rPr>
          <w:b/>
          <w:lang w:val="es-ES_tradnl"/>
        </w:rPr>
        <w:t xml:space="preserve"> disposiciones legislativas</w:t>
      </w:r>
      <w:r w:rsidRPr="00BB0A7A">
        <w:rPr>
          <w:b/>
          <w:lang w:val="es-ES_tradnl"/>
        </w:rPr>
        <w:t xml:space="preserve"> o permisos relativos a los desechos peligrosos: etapas de</w:t>
      </w:r>
      <w:r w:rsidR="009337B3">
        <w:rPr>
          <w:b/>
          <w:lang w:val="es-ES_tradnl"/>
        </w:rPr>
        <w:t xml:space="preserve">l ciclo de gestión de desechos </w:t>
      </w:r>
      <w:r w:rsidRPr="00BB0A7A">
        <w:rPr>
          <w:b/>
          <w:lang w:val="es-ES_tradnl"/>
        </w:rPr>
        <w:t>y corriente</w:t>
      </w:r>
      <w:r w:rsidR="009337B3">
        <w:rPr>
          <w:b/>
          <w:lang w:val="es-ES_tradnl"/>
        </w:rPr>
        <w:t xml:space="preserve">s de desechos </w:t>
      </w:r>
      <w:r w:rsidRPr="00BB0A7A">
        <w:rPr>
          <w:b/>
          <w:lang w:val="es-ES_tradnl"/>
        </w:rPr>
        <w:t>(indicador 3, elemento básico I)</w:t>
      </w:r>
    </w:p>
    <w:p w:rsidR="00CC4305" w:rsidRPr="00BB0A7A" w:rsidRDefault="009337B3" w:rsidP="00AC7E83">
      <w:pPr>
        <w:pStyle w:val="Normalnumber"/>
        <w:keepNext/>
        <w:keepLines/>
        <w:numPr>
          <w:ilvl w:val="0"/>
          <w:numId w:val="0"/>
        </w:numPr>
        <w:spacing w:before="240"/>
        <w:ind w:left="1247"/>
        <w:rPr>
          <w:b/>
          <w:lang w:val="es-ES_tradnl"/>
        </w:rPr>
      </w:pPr>
      <w:r>
        <w:rPr>
          <w:b/>
          <w:noProof/>
          <w:lang w:val="en-US"/>
        </w:rPr>
        <w:drawing>
          <wp:inline distT="0" distB="0" distL="0" distR="0" wp14:anchorId="64669E84" wp14:editId="4FDC2C0F">
            <wp:extent cx="5351797" cy="232564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1797" cy="2325641"/>
                    </a:xfrm>
                    <a:prstGeom prst="rect">
                      <a:avLst/>
                    </a:prstGeom>
                    <a:noFill/>
                    <a:ln>
                      <a:noFill/>
                    </a:ln>
                  </pic:spPr>
                </pic:pic>
              </a:graphicData>
            </a:graphic>
          </wp:inline>
        </w:drawing>
      </w:r>
      <w:r w:rsidR="006E5360" w:rsidRPr="008F4A74">
        <w:rPr>
          <w:noProof/>
          <w:lang w:val="en-US"/>
        </w:rPr>
        <mc:AlternateContent>
          <mc:Choice Requires="wps">
            <w:drawing>
              <wp:anchor distT="0" distB="0" distL="114300" distR="114300" simplePos="0" relativeHeight="251657728" behindDoc="0" locked="0" layoutInCell="1" allowOverlap="1" wp14:anchorId="4C9309D3" wp14:editId="3FECBD58">
                <wp:simplePos x="0" y="0"/>
                <wp:positionH relativeFrom="column">
                  <wp:posOffset>3297555</wp:posOffset>
                </wp:positionH>
                <wp:positionV relativeFrom="paragraph">
                  <wp:posOffset>12065</wp:posOffset>
                </wp:positionV>
                <wp:extent cx="835025" cy="127000"/>
                <wp:effectExtent l="0" t="0" r="3175" b="635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025" cy="1270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59.65pt;margin-top:.95pt;width:65.75pt;height: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" fillcolor="window" stroked="f" strokeweight="2pt">
                <v:path arrowok="t"/>
              </v:rect>
            </w:pict>
          </mc:Fallback>
        </mc:AlternateContent>
      </w:r>
      <w:r w:rsidR="00AC7E83" w:rsidRPr="008F4A74">
        <w:rPr>
          <w:lang w:val="es-ES_tradnl"/>
        </w:rPr>
        <w:t>b)</w:t>
      </w:r>
      <w:r w:rsidR="00AC7E83" w:rsidRPr="008F4A74">
        <w:rPr>
          <w:lang w:val="es-ES_tradnl"/>
        </w:rPr>
        <w:tab/>
      </w:r>
      <w:r w:rsidR="00CC4305" w:rsidRPr="00AC7E83">
        <w:rPr>
          <w:b/>
          <w:lang w:val="es-ES_tradnl"/>
        </w:rPr>
        <w:t>Progresos</w:t>
      </w:r>
      <w:r w:rsidR="00CC4305" w:rsidRPr="00BB0A7A">
        <w:rPr>
          <w:b/>
          <w:lang w:val="es-ES_tradnl"/>
        </w:rPr>
        <w:t xml:space="preserve"> en el uso de instrumentos (indicador 1, elemento básico VIII)</w:t>
      </w:r>
    </w:p>
    <w:p w:rsidR="003A1947" w:rsidRPr="00BB0A7A" w:rsidRDefault="009D4BB8" w:rsidP="00B108BE">
      <w:pPr>
        <w:pStyle w:val="Normalnumber"/>
        <w:numPr>
          <w:ilvl w:val="0"/>
          <w:numId w:val="0"/>
        </w:numPr>
        <w:ind w:left="1247"/>
        <w:rPr>
          <w:rFonts w:eastAsia="SimSun"/>
          <w:noProof/>
          <w:lang w:val="es-ES_tradnl" w:eastAsia="el-GR"/>
        </w:rPr>
      </w:pPr>
      <w:r>
        <w:rPr>
          <w:rFonts w:eastAsia="SimSun"/>
          <w:noProof/>
          <w:lang w:val="en-US"/>
        </w:rPr>
        <w:drawing>
          <wp:inline distT="0" distB="0" distL="0" distR="0" wp14:anchorId="78289CB3" wp14:editId="49108706">
            <wp:extent cx="5264407" cy="279392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1846" cy="2797873"/>
                    </a:xfrm>
                    <a:prstGeom prst="rect">
                      <a:avLst/>
                    </a:prstGeom>
                    <a:noFill/>
                    <a:ln>
                      <a:noFill/>
                    </a:ln>
                  </pic:spPr>
                </pic:pic>
              </a:graphicData>
            </a:graphic>
          </wp:inline>
        </w:drawing>
      </w:r>
    </w:p>
    <w:p w:rsidR="00CC4305" w:rsidRPr="009D4BB8" w:rsidRDefault="009D4BB8" w:rsidP="009D4BB8">
      <w:pPr>
        <w:pStyle w:val="Normalnumber"/>
        <w:keepNext/>
        <w:keepLines/>
        <w:numPr>
          <w:ilvl w:val="0"/>
          <w:numId w:val="0"/>
        </w:numPr>
        <w:spacing w:before="240"/>
        <w:ind w:left="1247"/>
        <w:rPr>
          <w:b/>
          <w:spacing w:val="-2"/>
          <w:lang w:val="es-ES_tradnl"/>
        </w:rPr>
      </w:pPr>
      <w:r w:rsidRPr="008F4A74">
        <w:rPr>
          <w:spacing w:val="-2"/>
          <w:lang w:val="es-ES_tradnl"/>
        </w:rPr>
        <w:t>c)</w:t>
      </w:r>
      <w:r w:rsidRPr="008F4A74">
        <w:rPr>
          <w:spacing w:val="-2"/>
          <w:lang w:val="es-ES_tradnl"/>
        </w:rPr>
        <w:tab/>
      </w:r>
      <w:r w:rsidR="00CC4305" w:rsidRPr="009D4BB8">
        <w:rPr>
          <w:b/>
          <w:spacing w:val="-2"/>
          <w:lang w:val="es-ES_tradnl"/>
        </w:rPr>
        <w:t>Progresos en la vigilancia de la salud y el medio ambiente (indicador 4, elemento básico X)</w:t>
      </w:r>
    </w:p>
    <w:p w:rsidR="003A1947" w:rsidRPr="00BB0A7A" w:rsidRDefault="00CE2D5E" w:rsidP="00B108BE">
      <w:pPr>
        <w:pStyle w:val="Normalnumber"/>
        <w:numPr>
          <w:ilvl w:val="0"/>
          <w:numId w:val="0"/>
        </w:numPr>
        <w:ind w:left="1276"/>
        <w:rPr>
          <w:rFonts w:eastAsia="SimSun"/>
          <w:noProof/>
          <w:lang w:val="es-ES_tradnl" w:eastAsia="el-GR"/>
        </w:rPr>
      </w:pPr>
      <w:r w:rsidRPr="00BB0A7A">
        <w:rPr>
          <w:rFonts w:eastAsia="SimSun"/>
          <w:noProof/>
          <w:lang w:val="en-US"/>
        </w:rPr>
        <w:drawing>
          <wp:inline distT="0" distB="0" distL="0" distR="0" wp14:anchorId="1A18BEBC" wp14:editId="4259E5B3">
            <wp:extent cx="4467563" cy="2741182"/>
            <wp:effectExtent l="0" t="0" r="9525" b="21590"/>
            <wp:docPr id="5"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1947" w:rsidRPr="00BB0A7A" w:rsidRDefault="00E8725D" w:rsidP="00B17FA7">
      <w:pPr>
        <w:pStyle w:val="CH2"/>
        <w:keepNext w:val="0"/>
        <w:keepLines w:val="0"/>
        <w:rPr>
          <w:lang w:val="es-ES_tradnl"/>
        </w:rPr>
      </w:pPr>
      <w:r w:rsidRPr="00BB0A7A">
        <w:rPr>
          <w:lang w:val="es-ES_tradnl"/>
        </w:rPr>
        <w:tab/>
      </w:r>
      <w:r w:rsidR="00B17FA7" w:rsidRPr="00BB0A7A">
        <w:rPr>
          <w:lang w:val="es-ES_tradnl"/>
        </w:rPr>
        <w:t>B.</w:t>
      </w:r>
      <w:r w:rsidR="00A7141B" w:rsidRPr="00BB0A7A">
        <w:rPr>
          <w:lang w:val="es-ES_tradnl"/>
        </w:rPr>
        <w:tab/>
      </w:r>
      <w:r w:rsidR="00B17FA7" w:rsidRPr="00BB0A7A">
        <w:rPr>
          <w:lang w:val="es-ES_tradnl"/>
        </w:rPr>
        <w:t>Objetivo B: Conocimientos e información</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Pese a que los progresos realizados respecto de todos los indicadores del objetivo B son inferiores en conjunto a</w:t>
      </w:r>
      <w:r w:rsidR="00B909A4" w:rsidRPr="00BB0A7A">
        <w:rPr>
          <w:lang w:val="es-ES_tradnl"/>
        </w:rPr>
        <w:t xml:space="preserve"> los del objetivo A, hay muestras</w:t>
      </w:r>
      <w:r w:rsidRPr="00BB0A7A">
        <w:rPr>
          <w:lang w:val="es-ES_tradnl"/>
        </w:rPr>
        <w:t xml:space="preserve"> de un progreso considerable en determinados indicadores por separado, en especial el indicador 6 y la </w:t>
      </w:r>
      <w:proofErr w:type="spellStart"/>
      <w:r w:rsidRPr="00BB0A7A">
        <w:rPr>
          <w:lang w:val="es-ES_tradnl"/>
        </w:rPr>
        <w:t>subpregunta</w:t>
      </w:r>
      <w:proofErr w:type="spellEnd"/>
      <w:r w:rsidRPr="00BB0A7A">
        <w:rPr>
          <w:lang w:val="es-ES_tradnl"/>
        </w:rPr>
        <w:t xml:space="preserve"> relativa a la aplicación del Sistema Globalmente Armonizado de Clasificación y Etiquetado de Productos Químicos (SGA), </w:t>
      </w:r>
      <w:r w:rsidR="00B909A4" w:rsidRPr="00BB0A7A">
        <w:rPr>
          <w:lang w:val="es-ES_tradnl"/>
        </w:rPr>
        <w:t>ya</w:t>
      </w:r>
      <w:r w:rsidRPr="00BB0A7A">
        <w:rPr>
          <w:lang w:val="es-ES_tradnl"/>
        </w:rPr>
        <w:t xml:space="preserve"> que los interesados han comunicado un 22% más de actividades encaminadas a aplicar el SGA a los plaguicidas. Este incremento refrenda la prioridad concedida al SGA en la definición de los elementos básicos y</w:t>
      </w:r>
      <w:r w:rsidR="00B909A4" w:rsidRPr="00BB0A7A">
        <w:rPr>
          <w:lang w:val="es-ES_tradnl"/>
        </w:rPr>
        <w:t>,</w:t>
      </w:r>
      <w:r w:rsidRPr="00BB0A7A">
        <w:rPr>
          <w:lang w:val="es-ES_tradnl"/>
        </w:rPr>
        <w:t xml:space="preserve"> en el caso de América Latina y el Caribe</w:t>
      </w:r>
      <w:r w:rsidR="00B909A4" w:rsidRPr="00BB0A7A">
        <w:rPr>
          <w:lang w:val="es-ES_tradnl"/>
        </w:rPr>
        <w:t>, está relacionado con el</w:t>
      </w:r>
      <w:r w:rsidRPr="00BB0A7A">
        <w:rPr>
          <w:lang w:val="es-ES_tradnl"/>
        </w:rPr>
        <w:t xml:space="preserve"> apoyo</w:t>
      </w:r>
      <w:r w:rsidR="00B909A4" w:rsidRPr="00BB0A7A">
        <w:rPr>
          <w:lang w:val="es-ES_tradnl"/>
        </w:rPr>
        <w:t xml:space="preserve"> firme</w:t>
      </w:r>
      <w:r w:rsidR="00AE4525">
        <w:rPr>
          <w:lang w:val="es-ES_tradnl"/>
        </w:rPr>
        <w:t xml:space="preserve"> del Programa de Inicio R</w:t>
      </w:r>
      <w:r w:rsidRPr="00BB0A7A">
        <w:rPr>
          <w:lang w:val="es-ES_tradnl"/>
        </w:rPr>
        <w:t>ápido.</w:t>
      </w:r>
    </w:p>
    <w:p w:rsidR="003A1947" w:rsidRPr="00BB0A7A" w:rsidRDefault="003A1947" w:rsidP="00F01599">
      <w:pPr>
        <w:pStyle w:val="Normalnumber"/>
        <w:numPr>
          <w:ilvl w:val="0"/>
          <w:numId w:val="8"/>
        </w:numPr>
        <w:spacing w:after="240"/>
        <w:rPr>
          <w:lang w:val="es-ES_tradnl"/>
        </w:rPr>
      </w:pPr>
      <w:r w:rsidRPr="00BB0A7A">
        <w:rPr>
          <w:lang w:val="es-ES_tradnl"/>
        </w:rPr>
        <w:t>Los indicadores 7 y 9, relativos a las actividades de concienciación de grupos vulnerables y el suministro de información a los interesados mediante sitios web, respectiva</w:t>
      </w:r>
      <w:r w:rsidR="00B909A4" w:rsidRPr="00BB0A7A">
        <w:rPr>
          <w:lang w:val="es-ES_tradnl"/>
        </w:rPr>
        <w:t>mente, también muestran un au</w:t>
      </w:r>
      <w:r w:rsidRPr="00BB0A7A">
        <w:rPr>
          <w:lang w:val="es-ES_tradnl"/>
        </w:rPr>
        <w:t xml:space="preserve">mento de respuestas positivas desde el </w:t>
      </w:r>
      <w:r w:rsidR="008E43C5" w:rsidRPr="00BB0A7A">
        <w:rPr>
          <w:lang w:val="es-ES_tradnl"/>
        </w:rPr>
        <w:t>primer período de presentación de informes</w:t>
      </w:r>
      <w:r w:rsidR="00B909A4" w:rsidRPr="00BB0A7A">
        <w:rPr>
          <w:lang w:val="es-ES_tradnl"/>
        </w:rPr>
        <w:t>. En particular, los interesados</w:t>
      </w:r>
      <w:r w:rsidRPr="00BB0A7A">
        <w:rPr>
          <w:lang w:val="es-ES_tradnl"/>
        </w:rPr>
        <w:t xml:space="preserve"> de la sociedad civil notificaron un 65% más de actividades de comunicación dirigidas a grupos vulnerables concretos que sus homólogos gubernamentales, lo que pone de relieve la importancia de la faceta multisectorial y de múltiples interesados del Enfoque Estratégico.</w:t>
      </w:r>
    </w:p>
    <w:tbl>
      <w:tblPr>
        <w:tblW w:w="0" w:type="auto"/>
        <w:tblInd w:w="1247" w:type="dxa"/>
        <w:tblLayout w:type="fixed"/>
        <w:tblLook w:val="04A0" w:firstRow="1" w:lastRow="0" w:firstColumn="1" w:lastColumn="0" w:noHBand="0" w:noVBand="1"/>
      </w:tblPr>
      <w:tblGrid>
        <w:gridCol w:w="1838"/>
        <w:gridCol w:w="2268"/>
        <w:gridCol w:w="4359"/>
      </w:tblGrid>
      <w:tr w:rsidR="003A1947" w:rsidRPr="009337B3" w:rsidTr="00745DC4">
        <w:trPr>
          <w:tblHeader/>
        </w:trPr>
        <w:tc>
          <w:tcPr>
            <w:tcW w:w="1838" w:type="dxa"/>
            <w:tcBorders>
              <w:top w:val="single" w:sz="4" w:space="0" w:color="auto"/>
              <w:bottom w:val="single" w:sz="12" w:space="0" w:color="auto"/>
            </w:tcBorders>
            <w:shd w:val="clear" w:color="auto" w:fill="auto"/>
          </w:tcPr>
          <w:p w:rsidR="003A1947" w:rsidRPr="00BB0A7A" w:rsidRDefault="003A1947" w:rsidP="0058788B">
            <w:pPr>
              <w:spacing w:after="12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Elemento básico de la orientación y las directrices generales</w:t>
            </w:r>
          </w:p>
        </w:tc>
        <w:tc>
          <w:tcPr>
            <w:tcW w:w="2268" w:type="dxa"/>
            <w:tcBorders>
              <w:top w:val="single" w:sz="4" w:space="0" w:color="auto"/>
              <w:bottom w:val="single" w:sz="12" w:space="0" w:color="auto"/>
            </w:tcBorders>
            <w:shd w:val="clear" w:color="auto" w:fill="auto"/>
          </w:tcPr>
          <w:p w:rsidR="003A1947" w:rsidRPr="00BB0A7A" w:rsidRDefault="003A1947" w:rsidP="0058788B">
            <w:pPr>
              <w:spacing w:after="12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Indicadores de progresos y cuestiones pertinentes (objetivo B)</w:t>
            </w:r>
          </w:p>
        </w:tc>
        <w:tc>
          <w:tcPr>
            <w:tcW w:w="4359" w:type="dxa"/>
            <w:tcBorders>
              <w:top w:val="single" w:sz="4" w:space="0" w:color="auto"/>
              <w:bottom w:val="single" w:sz="12" w:space="0" w:color="auto"/>
            </w:tcBorders>
            <w:shd w:val="clear" w:color="auto" w:fill="auto"/>
          </w:tcPr>
          <w:p w:rsidR="003A1947" w:rsidRPr="00BB0A7A" w:rsidRDefault="006B4CC8" w:rsidP="0058788B">
            <w:pPr>
              <w:spacing w:after="12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Progresos logr</w:t>
            </w:r>
            <w:r w:rsidR="001A34B8" w:rsidRPr="00BB0A7A">
              <w:rPr>
                <w:rFonts w:ascii="Times New Roman" w:hAnsi="Times New Roman"/>
                <w:i/>
                <w:sz w:val="18"/>
                <w:lang w:val="es-ES_tradnl"/>
              </w:rPr>
              <w:t>ados entre el primer y el segundo período de presentación de informes (incluidos los casos de éxito a nivel regional)</w:t>
            </w:r>
          </w:p>
        </w:tc>
      </w:tr>
      <w:tr w:rsidR="003A1947" w:rsidRPr="009337B3">
        <w:tc>
          <w:tcPr>
            <w:tcW w:w="1838" w:type="dxa"/>
            <w:tcBorders>
              <w:top w:val="single" w:sz="12" w:space="0" w:color="auto"/>
            </w:tcBorders>
            <w:shd w:val="clear" w:color="auto" w:fill="auto"/>
          </w:tcPr>
          <w:p w:rsidR="003A1947" w:rsidRPr="00BB0A7A" w:rsidRDefault="003A1947" w:rsidP="0058788B">
            <w:pPr>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V</w:t>
            </w:r>
            <w:r w:rsidR="008E43C5" w:rsidRPr="00BB0A7A">
              <w:rPr>
                <w:rFonts w:ascii="Times New Roman" w:hAnsi="Times New Roman"/>
                <w:sz w:val="18"/>
                <w:lang w:val="es-ES_tradnl"/>
              </w:rPr>
              <w:t>.</w:t>
            </w:r>
            <w:r w:rsidRPr="00BB0A7A">
              <w:rPr>
                <w:rFonts w:ascii="Times New Roman" w:hAnsi="Times New Roman"/>
                <w:sz w:val="18"/>
                <w:lang w:val="es-ES_tradnl"/>
              </w:rPr>
              <w:t xml:space="preserve"> Recopilación de información y datos y sistemas para intercambiarlos con transparencia entre todos los interesados mediante un enfoque basado en el ciclo de vida, como la aplicación del Sistema Globalmente Armonizado de Clasificación y Etiquetado de </w:t>
            </w:r>
            <w:r w:rsidRPr="009D4BB8">
              <w:rPr>
                <w:rFonts w:ascii="Times New Roman" w:hAnsi="Times New Roman"/>
                <w:sz w:val="18"/>
                <w:lang w:val="es-ES_tradnl"/>
              </w:rPr>
              <w:t>Productos Químicos</w:t>
            </w:r>
          </w:p>
        </w:tc>
        <w:tc>
          <w:tcPr>
            <w:tcW w:w="2268" w:type="dxa"/>
            <w:tcBorders>
              <w:top w:val="single" w:sz="12" w:space="0" w:color="auto"/>
            </w:tcBorders>
            <w:shd w:val="clear" w:color="auto" w:fill="auto"/>
          </w:tcPr>
          <w:p w:rsidR="003A1947" w:rsidRPr="00BB0A7A" w:rsidRDefault="003A1947" w:rsidP="0058788B">
            <w:pPr>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7, relativo a los materiales para la sensibilización de los grupos vulnerables</w:t>
            </w:r>
          </w:p>
          <w:p w:rsidR="003A1947" w:rsidRPr="00BB0A7A" w:rsidRDefault="003A1947" w:rsidP="0058788B">
            <w:pPr>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9, relativo al suministro de información a los interesados mediante sitios web</w:t>
            </w:r>
          </w:p>
        </w:tc>
        <w:tc>
          <w:tcPr>
            <w:tcW w:w="4359" w:type="dxa"/>
            <w:tcBorders>
              <w:top w:val="single" w:sz="12" w:space="0" w:color="auto"/>
            </w:tcBorders>
            <w:shd w:val="clear" w:color="auto" w:fill="auto"/>
          </w:tcPr>
          <w:p w:rsidR="003A1947" w:rsidRPr="00BB0A7A" w:rsidRDefault="00B909A4" w:rsidP="0058788B">
            <w:pPr>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7: Au</w:t>
            </w:r>
            <w:r w:rsidR="003A1947" w:rsidRPr="00BB0A7A">
              <w:rPr>
                <w:rFonts w:ascii="Times New Roman" w:hAnsi="Times New Roman"/>
                <w:sz w:val="18"/>
                <w:lang w:val="es-ES_tradnl"/>
              </w:rPr>
              <w:t>mento del promedio de número de grupos vulnerables objeto de</w:t>
            </w:r>
            <w:r w:rsidRPr="00BB0A7A">
              <w:rPr>
                <w:rFonts w:ascii="Times New Roman" w:hAnsi="Times New Roman"/>
                <w:sz w:val="18"/>
                <w:lang w:val="es-ES_tradnl"/>
              </w:rPr>
              <w:t xml:space="preserve"> la actividad de los interesados</w:t>
            </w:r>
            <w:r w:rsidR="003A1947" w:rsidRPr="00BB0A7A">
              <w:rPr>
                <w:rFonts w:ascii="Times New Roman" w:hAnsi="Times New Roman"/>
                <w:sz w:val="18"/>
                <w:lang w:val="es-ES_tradnl"/>
              </w:rPr>
              <w:t xml:space="preserve">, de 2,5 grupos </w:t>
            </w:r>
            <w:r w:rsidR="008E43C5" w:rsidRPr="00BB0A7A">
              <w:rPr>
                <w:rFonts w:ascii="Times New Roman" w:hAnsi="Times New Roman"/>
                <w:sz w:val="18"/>
                <w:lang w:val="es-ES_tradnl"/>
              </w:rPr>
              <w:t xml:space="preserve">en el PR1 </w:t>
            </w:r>
            <w:r w:rsidR="003A1947" w:rsidRPr="00BB0A7A">
              <w:rPr>
                <w:rFonts w:ascii="Times New Roman" w:hAnsi="Times New Roman"/>
                <w:sz w:val="18"/>
                <w:lang w:val="es-ES_tradnl"/>
              </w:rPr>
              <w:t>a más de 3 en</w:t>
            </w:r>
            <w:r w:rsidR="009D4BB8">
              <w:rPr>
                <w:rFonts w:ascii="Times New Roman" w:hAnsi="Times New Roman"/>
                <w:sz w:val="18"/>
                <w:lang w:val="es-ES_tradnl"/>
              </w:rPr>
              <w:t> </w:t>
            </w:r>
            <w:r w:rsidRPr="00BB0A7A">
              <w:rPr>
                <w:rFonts w:ascii="Times New Roman" w:hAnsi="Times New Roman"/>
                <w:sz w:val="18"/>
                <w:lang w:val="es-ES_tradnl"/>
              </w:rPr>
              <w:t>el</w:t>
            </w:r>
            <w:r w:rsidR="009D4BB8">
              <w:rPr>
                <w:rFonts w:ascii="Times New Roman" w:hAnsi="Times New Roman"/>
                <w:sz w:val="18"/>
                <w:lang w:val="es-ES_tradnl"/>
              </w:rPr>
              <w:t> </w:t>
            </w:r>
            <w:r w:rsidR="003A1947" w:rsidRPr="00BB0A7A">
              <w:rPr>
                <w:rFonts w:ascii="Times New Roman" w:hAnsi="Times New Roman"/>
                <w:sz w:val="18"/>
                <w:lang w:val="es-ES_tradnl"/>
              </w:rPr>
              <w:t>PR2</w:t>
            </w:r>
          </w:p>
          <w:p w:rsidR="003A1947" w:rsidRPr="00BB0A7A" w:rsidRDefault="00B909A4" w:rsidP="0058788B">
            <w:pPr>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Au</w:t>
            </w:r>
            <w:r w:rsidR="003A1947" w:rsidRPr="00BB0A7A">
              <w:rPr>
                <w:rFonts w:ascii="Times New Roman" w:hAnsi="Times New Roman"/>
                <w:sz w:val="18"/>
                <w:lang w:val="es-ES_tradnl"/>
              </w:rPr>
              <w:t>mento de u</w:t>
            </w:r>
            <w:r w:rsidRPr="00BB0A7A">
              <w:rPr>
                <w:rFonts w:ascii="Times New Roman" w:hAnsi="Times New Roman"/>
                <w:sz w:val="18"/>
                <w:lang w:val="es-ES_tradnl"/>
              </w:rPr>
              <w:t>n 15% en el número de interesado</w:t>
            </w:r>
            <w:r w:rsidR="003A1947" w:rsidRPr="00BB0A7A">
              <w:rPr>
                <w:rFonts w:ascii="Times New Roman" w:hAnsi="Times New Roman"/>
                <w:sz w:val="18"/>
                <w:lang w:val="es-ES_tradnl"/>
              </w:rPr>
              <w:t>s que destinan actividades al público en general, niños,</w:t>
            </w:r>
            <w:r w:rsidRPr="00BB0A7A">
              <w:rPr>
                <w:rFonts w:ascii="Times New Roman" w:hAnsi="Times New Roman"/>
                <w:sz w:val="18"/>
                <w:lang w:val="es-ES_tradnl"/>
              </w:rPr>
              <w:t xml:space="preserve"> mujeres y ancianos; en cambio</w:t>
            </w:r>
            <w:r w:rsidR="003A1947" w:rsidRPr="00BB0A7A">
              <w:rPr>
                <w:rFonts w:ascii="Times New Roman" w:hAnsi="Times New Roman"/>
                <w:sz w:val="18"/>
                <w:lang w:val="es-ES_tradnl"/>
              </w:rPr>
              <w:t>, se observa una ligera disminución en lo relativo a los inmigrantes</w:t>
            </w:r>
          </w:p>
          <w:p w:rsidR="003A1947" w:rsidRPr="00BB0A7A" w:rsidRDefault="003A1947" w:rsidP="0058788B">
            <w:pPr>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El 48% de los interesados (principalmente de países de ingresos medianos más altos) notifican actividades de suministro de información por el sector de la salud</w:t>
            </w:r>
          </w:p>
          <w:p w:rsidR="003A1947" w:rsidRPr="00BB0A7A" w:rsidRDefault="003A1947" w:rsidP="0058788B">
            <w:pPr>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9: Aumento del número de temas tratados por los sitios web de 4 a 4,8 de los 10 temas disponibles</w:t>
            </w:r>
          </w:p>
        </w:tc>
      </w:tr>
      <w:tr w:rsidR="003A1947" w:rsidRPr="009337B3">
        <w:tc>
          <w:tcPr>
            <w:tcW w:w="1838" w:type="dxa"/>
            <w:shd w:val="clear" w:color="auto" w:fill="auto"/>
          </w:tcPr>
          <w:p w:rsidR="003A1947" w:rsidRPr="00BB0A7A" w:rsidRDefault="003A1947" w:rsidP="006A0E4D">
            <w:pPr>
              <w:spacing w:after="120"/>
              <w:rPr>
                <w:rFonts w:ascii="Times New Roman" w:eastAsia="SimSun" w:hAnsi="Times New Roman" w:cs="Times New Roman"/>
                <w:sz w:val="18"/>
                <w:szCs w:val="18"/>
                <w:lang w:val="es-ES_tradnl"/>
              </w:rPr>
            </w:pPr>
          </w:p>
        </w:tc>
        <w:tc>
          <w:tcPr>
            <w:tcW w:w="2268" w:type="dxa"/>
            <w:shd w:val="clear" w:color="auto" w:fill="auto"/>
          </w:tcPr>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6, pregunta 3.2 sobre la consonancia con el</w:t>
            </w:r>
            <w:r w:rsidR="006A727D" w:rsidRPr="00BB0A7A">
              <w:rPr>
                <w:rFonts w:ascii="Times New Roman" w:hAnsi="Times New Roman"/>
                <w:sz w:val="18"/>
                <w:lang w:val="es-ES_tradnl"/>
              </w:rPr>
              <w:t> </w:t>
            </w:r>
            <w:r w:rsidRPr="00BB0A7A">
              <w:rPr>
                <w:rFonts w:ascii="Times New Roman" w:hAnsi="Times New Roman"/>
                <w:sz w:val="18"/>
                <w:lang w:val="es-ES_tradnl"/>
              </w:rPr>
              <w:t>SGA (por tipos de productos químicos)</w:t>
            </w:r>
          </w:p>
        </w:tc>
        <w:tc>
          <w:tcPr>
            <w:tcW w:w="4359" w:type="dxa"/>
            <w:shd w:val="clear" w:color="auto" w:fill="auto"/>
          </w:tcPr>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 xml:space="preserve">Aumento de entre </w:t>
            </w:r>
            <w:r w:rsidR="00403905" w:rsidRPr="00BB0A7A">
              <w:rPr>
                <w:rFonts w:ascii="Times New Roman" w:hAnsi="Times New Roman"/>
                <w:sz w:val="18"/>
                <w:lang w:val="es-ES_tradnl"/>
              </w:rPr>
              <w:t xml:space="preserve">un </w:t>
            </w:r>
            <w:r w:rsidRPr="00BB0A7A">
              <w:rPr>
                <w:rFonts w:ascii="Times New Roman" w:hAnsi="Times New Roman"/>
                <w:sz w:val="18"/>
                <w:lang w:val="es-ES_tradnl"/>
              </w:rPr>
              <w:t xml:space="preserve">12% y </w:t>
            </w:r>
            <w:r w:rsidR="00403905" w:rsidRPr="00BB0A7A">
              <w:rPr>
                <w:rFonts w:ascii="Times New Roman" w:hAnsi="Times New Roman"/>
                <w:sz w:val="18"/>
                <w:lang w:val="es-ES_tradnl"/>
              </w:rPr>
              <w:t xml:space="preserve">un </w:t>
            </w:r>
            <w:r w:rsidRPr="00BB0A7A">
              <w:rPr>
                <w:rFonts w:ascii="Times New Roman" w:hAnsi="Times New Roman"/>
                <w:sz w:val="18"/>
                <w:lang w:val="es-ES_tradnl"/>
              </w:rPr>
              <w:t>22% respecto de distintos tipos químicos: los mayores progresos notificados corresponde</w:t>
            </w:r>
            <w:r w:rsidR="00403905" w:rsidRPr="00BB0A7A">
              <w:rPr>
                <w:rFonts w:ascii="Times New Roman" w:hAnsi="Times New Roman"/>
                <w:sz w:val="18"/>
                <w:lang w:val="es-ES_tradnl"/>
              </w:rPr>
              <w:t xml:space="preserve">n a los plaguicidas </w:t>
            </w:r>
            <w:r w:rsidRPr="00BB0A7A">
              <w:rPr>
                <w:rFonts w:ascii="Times New Roman" w:hAnsi="Times New Roman"/>
                <w:sz w:val="18"/>
                <w:lang w:val="es-ES_tradnl"/>
              </w:rPr>
              <w:t>(véase el gráfico III a))</w:t>
            </w:r>
          </w:p>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Los mayores progresos se comunican en América Latina y el C</w:t>
            </w:r>
            <w:r w:rsidR="00403905" w:rsidRPr="00BB0A7A">
              <w:rPr>
                <w:rFonts w:ascii="Times New Roman" w:hAnsi="Times New Roman"/>
                <w:sz w:val="18"/>
                <w:lang w:val="es-ES_tradnl"/>
              </w:rPr>
              <w:t>aribe (un 30% más de interesados</w:t>
            </w:r>
            <w:r w:rsidR="006A727D" w:rsidRPr="00BB0A7A">
              <w:rPr>
                <w:rFonts w:ascii="Times New Roman" w:hAnsi="Times New Roman"/>
                <w:sz w:val="18"/>
                <w:lang w:val="es-ES_tradnl"/>
              </w:rPr>
              <w:t xml:space="preserve"> en PR2 que en </w:t>
            </w:r>
            <w:r w:rsidRPr="00BB0A7A">
              <w:rPr>
                <w:rFonts w:ascii="Times New Roman" w:hAnsi="Times New Roman"/>
                <w:sz w:val="18"/>
                <w:lang w:val="es-ES_tradnl"/>
              </w:rPr>
              <w:t>PR1), incremento que se corresponde con una inversión importante d</w:t>
            </w:r>
            <w:r w:rsidR="00AE4525">
              <w:rPr>
                <w:rFonts w:ascii="Times New Roman" w:hAnsi="Times New Roman"/>
                <w:sz w:val="18"/>
                <w:lang w:val="es-ES_tradnl"/>
              </w:rPr>
              <w:t>el Programa de I</w:t>
            </w:r>
            <w:r w:rsidR="006A727D" w:rsidRPr="00BB0A7A">
              <w:rPr>
                <w:rFonts w:ascii="Times New Roman" w:hAnsi="Times New Roman"/>
                <w:sz w:val="18"/>
                <w:lang w:val="es-ES_tradnl"/>
              </w:rPr>
              <w:t>n</w:t>
            </w:r>
            <w:r w:rsidR="00AE4525">
              <w:rPr>
                <w:rFonts w:ascii="Times New Roman" w:hAnsi="Times New Roman"/>
                <w:sz w:val="18"/>
                <w:lang w:val="es-ES_tradnl"/>
              </w:rPr>
              <w:t>icio R</w:t>
            </w:r>
            <w:r w:rsidR="006A727D" w:rsidRPr="00BB0A7A">
              <w:rPr>
                <w:rFonts w:ascii="Times New Roman" w:hAnsi="Times New Roman"/>
                <w:sz w:val="18"/>
                <w:lang w:val="es-ES_tradnl"/>
              </w:rPr>
              <w:t>ápido en </w:t>
            </w:r>
            <w:r w:rsidRPr="00BB0A7A">
              <w:rPr>
                <w:rFonts w:ascii="Times New Roman" w:hAnsi="Times New Roman"/>
                <w:sz w:val="18"/>
                <w:lang w:val="es-ES_tradnl"/>
              </w:rPr>
              <w:t>esa región (cinco de los d</w:t>
            </w:r>
            <w:r w:rsidR="006A727D" w:rsidRPr="00BB0A7A">
              <w:rPr>
                <w:rFonts w:ascii="Times New Roman" w:hAnsi="Times New Roman"/>
                <w:sz w:val="18"/>
                <w:lang w:val="es-ES_tradnl"/>
              </w:rPr>
              <w:t>oce proyectos de aplicación del </w:t>
            </w:r>
            <w:r w:rsidRPr="00BB0A7A">
              <w:rPr>
                <w:rFonts w:ascii="Times New Roman" w:hAnsi="Times New Roman"/>
                <w:sz w:val="18"/>
                <w:lang w:val="es-ES_tradnl"/>
              </w:rPr>
              <w:t>SGA dirigidos p</w:t>
            </w:r>
            <w:r w:rsidR="006A727D" w:rsidRPr="00BB0A7A">
              <w:rPr>
                <w:rFonts w:ascii="Times New Roman" w:hAnsi="Times New Roman"/>
                <w:sz w:val="18"/>
                <w:lang w:val="es-ES_tradnl"/>
              </w:rPr>
              <w:t>or el Instituto de las Naciones </w:t>
            </w:r>
            <w:r w:rsidRPr="00BB0A7A">
              <w:rPr>
                <w:rFonts w:ascii="Times New Roman" w:hAnsi="Times New Roman"/>
                <w:sz w:val="18"/>
                <w:lang w:val="es-ES_tradnl"/>
              </w:rPr>
              <w:t>Unidas para Formación Profesional e Investigaciones (UNITAR) en las rondas 9 a 12, lo que abarca el segundo período de presentación de informes)</w:t>
            </w:r>
          </w:p>
        </w:tc>
      </w:tr>
      <w:tr w:rsidR="003A1947" w:rsidRPr="009337B3">
        <w:tc>
          <w:tcPr>
            <w:tcW w:w="1838" w:type="dxa"/>
            <w:tcBorders>
              <w:bottom w:val="single" w:sz="12" w:space="0" w:color="auto"/>
            </w:tcBorders>
            <w:shd w:val="clear" w:color="auto" w:fill="auto"/>
          </w:tcPr>
          <w:p w:rsidR="003A1947" w:rsidRPr="00BB0A7A" w:rsidRDefault="00C25F30"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X</w:t>
            </w:r>
            <w:r w:rsidR="008E43C5" w:rsidRPr="00BB0A7A">
              <w:rPr>
                <w:rFonts w:ascii="Times New Roman" w:hAnsi="Times New Roman"/>
                <w:sz w:val="18"/>
                <w:lang w:val="es-ES_tradnl"/>
              </w:rPr>
              <w:t>.</w:t>
            </w:r>
            <w:r w:rsidRPr="00BB0A7A">
              <w:rPr>
                <w:rFonts w:ascii="Times New Roman" w:hAnsi="Times New Roman"/>
                <w:sz w:val="18"/>
                <w:lang w:val="es-ES_tradnl"/>
              </w:rPr>
              <w:t xml:space="preserve"> Vigilancia y evaluación de los efectos de los productos </w:t>
            </w:r>
            <w:r w:rsidR="006A727D" w:rsidRPr="00BB0A7A">
              <w:rPr>
                <w:rFonts w:ascii="Times New Roman" w:hAnsi="Times New Roman"/>
                <w:sz w:val="18"/>
                <w:lang w:val="es-ES_tradnl"/>
              </w:rPr>
              <w:t xml:space="preserve">químicos en la salud y el </w:t>
            </w:r>
            <w:r w:rsidR="006A727D" w:rsidRPr="009D4BB8">
              <w:rPr>
                <w:rFonts w:ascii="Times New Roman" w:hAnsi="Times New Roman"/>
                <w:sz w:val="18"/>
                <w:lang w:val="es-ES_tradnl"/>
              </w:rPr>
              <w:t>medio </w:t>
            </w:r>
            <w:r w:rsidRPr="009D4BB8">
              <w:rPr>
                <w:rFonts w:ascii="Times New Roman" w:hAnsi="Times New Roman"/>
                <w:sz w:val="18"/>
                <w:lang w:val="es-ES_tradnl"/>
              </w:rPr>
              <w:t>ambiente</w:t>
            </w:r>
          </w:p>
        </w:tc>
        <w:tc>
          <w:tcPr>
            <w:tcW w:w="2268" w:type="dxa"/>
            <w:tcBorders>
              <w:bottom w:val="single" w:sz="12" w:space="0" w:color="auto"/>
            </w:tcBorders>
            <w:shd w:val="clear" w:color="auto" w:fill="auto"/>
          </w:tcPr>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8,</w:t>
            </w:r>
            <w:r w:rsidR="006A727D" w:rsidRPr="00BB0A7A">
              <w:rPr>
                <w:rFonts w:ascii="Times New Roman" w:hAnsi="Times New Roman"/>
                <w:sz w:val="18"/>
                <w:lang w:val="es-ES_tradnl"/>
              </w:rPr>
              <w:t xml:space="preserve"> relativo a la </w:t>
            </w:r>
            <w:r w:rsidRPr="00BB0A7A">
              <w:rPr>
                <w:rFonts w:ascii="Times New Roman" w:hAnsi="Times New Roman"/>
                <w:sz w:val="18"/>
                <w:lang w:val="es-ES_tradnl"/>
              </w:rPr>
              <w:t>investigación</w:t>
            </w:r>
          </w:p>
        </w:tc>
        <w:tc>
          <w:tcPr>
            <w:tcW w:w="4359" w:type="dxa"/>
            <w:tcBorders>
              <w:bottom w:val="single" w:sz="12" w:space="0" w:color="auto"/>
            </w:tcBorders>
            <w:shd w:val="clear" w:color="auto" w:fill="auto"/>
          </w:tcPr>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 xml:space="preserve">Indicador 8: Ningún progreso en general; </w:t>
            </w:r>
            <w:r w:rsidR="00403905" w:rsidRPr="00BB0A7A">
              <w:rPr>
                <w:rFonts w:ascii="Times New Roman" w:hAnsi="Times New Roman"/>
                <w:sz w:val="18"/>
                <w:lang w:val="es-ES_tradnl"/>
              </w:rPr>
              <w:t xml:space="preserve">se observa un </w:t>
            </w:r>
            <w:r w:rsidRPr="00BB0A7A">
              <w:rPr>
                <w:rFonts w:ascii="Times New Roman" w:hAnsi="Times New Roman"/>
                <w:sz w:val="18"/>
                <w:lang w:val="es-ES_tradnl"/>
              </w:rPr>
              <w:t>ligero aumento en relaci</w:t>
            </w:r>
            <w:r w:rsidR="006A727D" w:rsidRPr="00BB0A7A">
              <w:rPr>
                <w:rFonts w:ascii="Times New Roman" w:hAnsi="Times New Roman"/>
                <w:sz w:val="18"/>
                <w:lang w:val="es-ES_tradnl"/>
              </w:rPr>
              <w:t>ón con las alternativas (39% en </w:t>
            </w:r>
            <w:r w:rsidRPr="00BB0A7A">
              <w:rPr>
                <w:rFonts w:ascii="Times New Roman" w:hAnsi="Times New Roman"/>
                <w:sz w:val="18"/>
                <w:lang w:val="es-ES_tradnl"/>
              </w:rPr>
              <w:t xml:space="preserve">PR2, frente al 32% en PR1), pero </w:t>
            </w:r>
            <w:r w:rsidR="00403905" w:rsidRPr="00BB0A7A">
              <w:rPr>
                <w:rFonts w:ascii="Times New Roman" w:hAnsi="Times New Roman"/>
                <w:sz w:val="18"/>
                <w:lang w:val="es-ES_tradnl"/>
              </w:rPr>
              <w:t xml:space="preserve">también </w:t>
            </w:r>
            <w:r w:rsidRPr="00BB0A7A">
              <w:rPr>
                <w:rFonts w:ascii="Times New Roman" w:hAnsi="Times New Roman"/>
                <w:sz w:val="18"/>
                <w:lang w:val="es-ES_tradnl"/>
              </w:rPr>
              <w:t>una disminución equivalente en investigación sobre métodos de producción más limpia (véase el gráfico III c))</w:t>
            </w:r>
          </w:p>
        </w:tc>
      </w:tr>
    </w:tbl>
    <w:p w:rsidR="005402BD" w:rsidRPr="00BB0A7A" w:rsidRDefault="008E43C5" w:rsidP="00494236">
      <w:pPr>
        <w:pStyle w:val="Normal-pool"/>
        <w:spacing w:before="40" w:after="120"/>
        <w:ind w:left="1247"/>
        <w:rPr>
          <w:sz w:val="18"/>
          <w:szCs w:val="18"/>
          <w:lang w:val="es-ES_tradnl"/>
        </w:rPr>
      </w:pPr>
      <w:r w:rsidRPr="00BB0A7A">
        <w:rPr>
          <w:i/>
          <w:sz w:val="18"/>
          <w:szCs w:val="18"/>
          <w:lang w:val="es-ES_tradnl"/>
        </w:rPr>
        <w:t>Abreviaturas:</w:t>
      </w:r>
      <w:r w:rsidRPr="00BB0A7A">
        <w:rPr>
          <w:sz w:val="18"/>
          <w:szCs w:val="18"/>
          <w:lang w:val="es-ES_tradnl"/>
        </w:rPr>
        <w:t xml:space="preserve"> SGA, Sistema Globalmente Armonizado; PR1, primer período de presentación de informes; PR2, segundo período de presentación de informes.</w:t>
      </w:r>
    </w:p>
    <w:p w:rsidR="003A1947" w:rsidRPr="00BB0A7A" w:rsidRDefault="00147A01" w:rsidP="00745DC4">
      <w:pPr>
        <w:pStyle w:val="Titlefigure"/>
        <w:spacing w:before="120"/>
        <w:rPr>
          <w:rFonts w:eastAsia="SimSun"/>
          <w:noProof/>
          <w:lang w:val="es-ES_tradnl"/>
        </w:rPr>
      </w:pPr>
      <w:r w:rsidRPr="00BB0A7A">
        <w:rPr>
          <w:b w:val="0"/>
          <w:lang w:val="es-ES_tradnl"/>
        </w:rPr>
        <w:t>Gráfico III</w:t>
      </w:r>
      <w:r w:rsidR="005402BD" w:rsidRPr="00BB0A7A">
        <w:rPr>
          <w:b w:val="0"/>
          <w:lang w:val="es-ES_tradnl"/>
        </w:rPr>
        <w:br/>
      </w:r>
      <w:r w:rsidR="00403905" w:rsidRPr="00BB0A7A">
        <w:rPr>
          <w:lang w:val="es-ES_tradnl"/>
        </w:rPr>
        <w:t>Au</w:t>
      </w:r>
      <w:r w:rsidR="003A1947" w:rsidRPr="00BB0A7A">
        <w:rPr>
          <w:lang w:val="es-ES_tradnl"/>
        </w:rPr>
        <w:t>mento del porcentaje</w:t>
      </w:r>
      <w:r w:rsidR="002E72C1" w:rsidRPr="00BB0A7A">
        <w:rPr>
          <w:lang w:val="es-ES_tradnl"/>
        </w:rPr>
        <w:t xml:space="preserve"> de interesados que selecciona</w:t>
      </w:r>
      <w:r w:rsidR="003A1947" w:rsidRPr="00BB0A7A">
        <w:rPr>
          <w:lang w:val="es-ES_tradnl"/>
        </w:rPr>
        <w:t xml:space="preserve">n opciones </w:t>
      </w:r>
      <w:r w:rsidR="00A04810" w:rsidRPr="00BB0A7A">
        <w:rPr>
          <w:lang w:val="es-ES_tradnl"/>
        </w:rPr>
        <w:t>relativas a los indicadores del </w:t>
      </w:r>
      <w:r w:rsidR="003A1947" w:rsidRPr="00BB0A7A">
        <w:rPr>
          <w:lang w:val="es-ES_tradnl"/>
        </w:rPr>
        <w:t xml:space="preserve">objetivo B </w:t>
      </w:r>
      <w:r w:rsidR="008E43C5" w:rsidRPr="00BB0A7A">
        <w:rPr>
          <w:lang w:val="es-ES_tradnl"/>
        </w:rPr>
        <w:t>(Comparación entre el segundo y el primer período de presentación de informes</w:t>
      </w:r>
      <w:r w:rsidR="003A1947" w:rsidRPr="00BB0A7A">
        <w:rPr>
          <w:lang w:val="es-ES_tradnl"/>
        </w:rPr>
        <w:t>)</w:t>
      </w:r>
    </w:p>
    <w:p w:rsidR="00C1720E" w:rsidRPr="00BB0A7A" w:rsidRDefault="00C1720E" w:rsidP="0058788B">
      <w:pPr>
        <w:pStyle w:val="Normalnumber"/>
        <w:numPr>
          <w:ilvl w:val="1"/>
          <w:numId w:val="8"/>
        </w:numPr>
        <w:spacing w:before="240" w:after="160"/>
        <w:ind w:left="1247" w:firstLine="0"/>
        <w:rPr>
          <w:b/>
          <w:lang w:val="es-ES_tradnl"/>
        </w:rPr>
      </w:pPr>
      <w:r w:rsidRPr="00BB0A7A">
        <w:rPr>
          <w:b/>
          <w:lang w:val="es-ES_tradnl"/>
        </w:rPr>
        <w:t xml:space="preserve">Aumento de la aplicación del </w:t>
      </w:r>
      <w:r w:rsidR="008E43C5" w:rsidRPr="00BB0A7A">
        <w:rPr>
          <w:b/>
          <w:lang w:val="es-ES_tradnl"/>
        </w:rPr>
        <w:t>Sistema Globalmente Armonizado</w:t>
      </w:r>
      <w:r w:rsidRPr="00BB0A7A">
        <w:rPr>
          <w:b/>
          <w:lang w:val="es-ES_tradnl"/>
        </w:rPr>
        <w:t xml:space="preserve"> para diversos tipos de prod</w:t>
      </w:r>
      <w:r w:rsidR="00A04810" w:rsidRPr="00BB0A7A">
        <w:rPr>
          <w:b/>
          <w:lang w:val="es-ES_tradnl"/>
        </w:rPr>
        <w:t>uctos químicos (eleme</w:t>
      </w:r>
      <w:r w:rsidR="00147A01" w:rsidRPr="00BB0A7A">
        <w:rPr>
          <w:b/>
          <w:lang w:val="es-ES_tradnl"/>
        </w:rPr>
        <w:t>nto </w:t>
      </w:r>
      <w:r w:rsidR="00A04810" w:rsidRPr="00BB0A7A">
        <w:rPr>
          <w:b/>
          <w:lang w:val="es-ES_tradnl"/>
        </w:rPr>
        <w:t>básico </w:t>
      </w:r>
      <w:r w:rsidRPr="00BB0A7A">
        <w:rPr>
          <w:b/>
          <w:lang w:val="es-ES_tradnl"/>
        </w:rPr>
        <w:t>V, indicador 6)</w:t>
      </w:r>
    </w:p>
    <w:p w:rsidR="003F3311" w:rsidRDefault="00404C63" w:rsidP="00B17FA7">
      <w:pPr>
        <w:pStyle w:val="Normalnumber"/>
        <w:numPr>
          <w:ilvl w:val="0"/>
          <w:numId w:val="0"/>
        </w:numPr>
        <w:spacing w:after="240"/>
        <w:ind w:left="1247"/>
        <w:rPr>
          <w:noProof/>
          <w:sz w:val="18"/>
          <w:szCs w:val="18"/>
          <w:lang w:val="es-ES_tradnl"/>
        </w:rPr>
      </w:pPr>
      <w:r w:rsidRPr="00BB0A7A">
        <w:rPr>
          <w:noProof/>
          <w:sz w:val="18"/>
          <w:szCs w:val="18"/>
          <w:lang w:val="en-US"/>
        </w:rPr>
        <w:drawing>
          <wp:inline distT="0" distB="0" distL="0" distR="0" wp14:anchorId="0DCDCEBC" wp14:editId="2B80B972">
            <wp:extent cx="4244713" cy="2636520"/>
            <wp:effectExtent l="0" t="0" r="22860" b="11430"/>
            <wp:docPr id="21" name="G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720E" w:rsidRPr="00BB0A7A" w:rsidRDefault="00C1720E" w:rsidP="00C762F2">
      <w:pPr>
        <w:pStyle w:val="Normalnumber"/>
        <w:numPr>
          <w:ilvl w:val="1"/>
          <w:numId w:val="8"/>
        </w:numPr>
        <w:spacing w:before="240" w:after="80"/>
        <w:ind w:left="1247" w:firstLine="0"/>
        <w:rPr>
          <w:b/>
          <w:lang w:val="es-ES_tradnl"/>
        </w:rPr>
      </w:pPr>
      <w:r w:rsidRPr="00BB0A7A">
        <w:rPr>
          <w:b/>
          <w:lang w:val="es-ES_tradnl"/>
        </w:rPr>
        <w:t>Aumento del suministro de información a los grupos vulnerable</w:t>
      </w:r>
      <w:r w:rsidR="005D766E" w:rsidRPr="00BB0A7A">
        <w:rPr>
          <w:b/>
          <w:lang w:val="es-ES_tradnl"/>
        </w:rPr>
        <w:t>s (izquierda) y mediante sitios </w:t>
      </w:r>
      <w:r w:rsidRPr="00BB0A7A">
        <w:rPr>
          <w:b/>
          <w:lang w:val="es-ES_tradnl"/>
        </w:rPr>
        <w:t>web (derecha) (elemento básico V, indicadores 7 y 9)</w:t>
      </w:r>
    </w:p>
    <w:p w:rsidR="00B1523B" w:rsidRPr="00BB0A7A" w:rsidRDefault="001E1402" w:rsidP="00C762F2">
      <w:pPr>
        <w:pStyle w:val="Normalnumber"/>
        <w:numPr>
          <w:ilvl w:val="0"/>
          <w:numId w:val="0"/>
        </w:numPr>
        <w:spacing w:before="120"/>
        <w:ind w:left="1247"/>
        <w:rPr>
          <w:lang w:val="es-ES_tradnl"/>
        </w:rPr>
      </w:pPr>
      <w:r w:rsidRPr="00BB0A7A">
        <w:rPr>
          <w:noProof/>
          <w:lang w:val="en-US"/>
        </w:rPr>
        <w:drawing>
          <wp:inline distT="0" distB="0" distL="0" distR="0" wp14:anchorId="04571845" wp14:editId="1C4AB7FB">
            <wp:extent cx="4244454" cy="2558612"/>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9093" cy="2573465"/>
                    </a:xfrm>
                    <a:prstGeom prst="rect">
                      <a:avLst/>
                    </a:prstGeom>
                    <a:noFill/>
                    <a:ln>
                      <a:noFill/>
                    </a:ln>
                  </pic:spPr>
                </pic:pic>
              </a:graphicData>
            </a:graphic>
          </wp:inline>
        </w:drawing>
      </w:r>
    </w:p>
    <w:p w:rsidR="003F3311" w:rsidRDefault="001E1402" w:rsidP="00B1523B">
      <w:pPr>
        <w:pStyle w:val="Normalnumber"/>
        <w:numPr>
          <w:ilvl w:val="0"/>
          <w:numId w:val="0"/>
        </w:numPr>
        <w:spacing w:before="240"/>
        <w:ind w:left="1247"/>
        <w:rPr>
          <w:lang w:val="es-ES_tradnl"/>
        </w:rPr>
      </w:pPr>
      <w:r w:rsidRPr="00BB0A7A">
        <w:rPr>
          <w:noProof/>
          <w:lang w:val="en-US"/>
        </w:rPr>
        <w:drawing>
          <wp:inline distT="0" distB="0" distL="0" distR="0" wp14:anchorId="7980D266" wp14:editId="5E14986D">
            <wp:extent cx="4831308" cy="2847873"/>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0074" cy="2847145"/>
                    </a:xfrm>
                    <a:prstGeom prst="rect">
                      <a:avLst/>
                    </a:prstGeom>
                    <a:noFill/>
                  </pic:spPr>
                </pic:pic>
              </a:graphicData>
            </a:graphic>
          </wp:inline>
        </w:drawing>
      </w:r>
    </w:p>
    <w:p w:rsidR="00C1720E" w:rsidRPr="00BB0A7A" w:rsidRDefault="00404C63" w:rsidP="004600C5">
      <w:pPr>
        <w:pStyle w:val="Normalnumber"/>
        <w:numPr>
          <w:ilvl w:val="1"/>
          <w:numId w:val="8"/>
        </w:numPr>
        <w:spacing w:before="240"/>
        <w:ind w:left="1247" w:firstLine="0"/>
        <w:rPr>
          <w:b/>
          <w:lang w:val="es-ES_tradnl"/>
        </w:rPr>
      </w:pPr>
      <w:r w:rsidRPr="00BB0A7A">
        <w:rPr>
          <w:b/>
          <w:lang w:val="es-ES_tradnl"/>
        </w:rPr>
        <w:t>Interesados que cuenta</w:t>
      </w:r>
      <w:r w:rsidR="00C1720E" w:rsidRPr="00BB0A7A">
        <w:rPr>
          <w:b/>
          <w:lang w:val="es-ES_tradnl"/>
        </w:rPr>
        <w:t>n con programas de investigación (elemento básico X, indicador 8)</w:t>
      </w:r>
    </w:p>
    <w:p w:rsidR="003A1947" w:rsidRPr="00BB0A7A" w:rsidRDefault="00CE2D5E" w:rsidP="003A1947">
      <w:pPr>
        <w:pStyle w:val="Normalnumber"/>
        <w:numPr>
          <w:ilvl w:val="0"/>
          <w:numId w:val="0"/>
        </w:numPr>
        <w:ind w:left="1247"/>
        <w:rPr>
          <w:rFonts w:eastAsia="SimSun"/>
          <w:noProof/>
          <w:lang w:val="es-ES_tradnl" w:eastAsia="el-GR"/>
        </w:rPr>
      </w:pPr>
      <w:r w:rsidRPr="00BB0A7A">
        <w:rPr>
          <w:rFonts w:eastAsia="SimSun"/>
          <w:noProof/>
          <w:lang w:val="en-US"/>
        </w:rPr>
        <w:drawing>
          <wp:inline distT="0" distB="0" distL="0" distR="0" wp14:anchorId="572873B9" wp14:editId="45EC7026">
            <wp:extent cx="4771006" cy="2741182"/>
            <wp:effectExtent l="0" t="0" r="10795" b="21590"/>
            <wp:docPr id="1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A1947" w:rsidRPr="00BB0A7A" w:rsidRDefault="00E10071" w:rsidP="00E10071">
      <w:pPr>
        <w:pStyle w:val="CH2"/>
        <w:rPr>
          <w:lang w:val="es-ES_tradnl"/>
        </w:rPr>
      </w:pPr>
      <w:r w:rsidRPr="00BB0A7A">
        <w:rPr>
          <w:lang w:val="es-ES_tradnl"/>
        </w:rPr>
        <w:tab/>
        <w:t>C.</w:t>
      </w:r>
      <w:r w:rsidR="008330C6" w:rsidRPr="00BB0A7A">
        <w:rPr>
          <w:lang w:val="es-ES_tradnl"/>
        </w:rPr>
        <w:tab/>
      </w:r>
      <w:r w:rsidRPr="00BB0A7A">
        <w:rPr>
          <w:lang w:val="es-ES_tradnl"/>
        </w:rPr>
        <w:t>Objetivo C: Gobernanza</w:t>
      </w:r>
    </w:p>
    <w:p w:rsidR="008F4A74"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En el </w:t>
      </w:r>
      <w:r w:rsidR="008E43C5" w:rsidRPr="00BB0A7A">
        <w:rPr>
          <w:lang w:val="es-ES_tradnl"/>
        </w:rPr>
        <w:t>primer período de presentación de informes</w:t>
      </w:r>
      <w:r w:rsidRPr="00BB0A7A">
        <w:rPr>
          <w:lang w:val="es-ES_tradnl"/>
        </w:rPr>
        <w:t xml:space="preserve"> se notificaron muchas actividades respecto del indicador 12, relativo a la aplicación de las prioridades internacionales en materia de productos químicos (convenios y acuerdos multilaterales sobre el medio ambiente)</w:t>
      </w:r>
      <w:r w:rsidR="00C52DD4" w:rsidRPr="00BB0A7A">
        <w:rPr>
          <w:lang w:val="es-ES_tradnl"/>
        </w:rPr>
        <w:t xml:space="preserve">, y en el </w:t>
      </w:r>
      <w:r w:rsidR="008E43C5" w:rsidRPr="00BB0A7A">
        <w:rPr>
          <w:lang w:val="es-ES_tradnl"/>
        </w:rPr>
        <w:t>segundo período de presentación de informes</w:t>
      </w:r>
      <w:r w:rsidR="00C52DD4" w:rsidRPr="00BB0A7A">
        <w:rPr>
          <w:lang w:val="es-ES_tradnl"/>
        </w:rPr>
        <w:t>,</w:t>
      </w:r>
      <w:r w:rsidRPr="00BB0A7A">
        <w:rPr>
          <w:lang w:val="es-ES_tradnl"/>
        </w:rPr>
        <w:t xml:space="preserve"> más del</w:t>
      </w:r>
      <w:r w:rsidR="00C52DD4" w:rsidRPr="00BB0A7A">
        <w:rPr>
          <w:lang w:val="es-ES_tradnl"/>
        </w:rPr>
        <w:t xml:space="preserve"> 85% de los interesados comunica</w:t>
      </w:r>
      <w:r w:rsidRPr="00BB0A7A">
        <w:rPr>
          <w:lang w:val="es-ES_tradnl"/>
        </w:rPr>
        <w:t>ron la adopción de mecanismos para ap</w:t>
      </w:r>
      <w:r w:rsidR="00C762F2">
        <w:rPr>
          <w:lang w:val="es-ES_tradnl"/>
        </w:rPr>
        <w:t>licar el Protocolo de Montreal Relativo a las Sustancias que Agotan la Capa de O</w:t>
      </w:r>
      <w:r w:rsidRPr="00BB0A7A">
        <w:rPr>
          <w:lang w:val="es-ES_tradnl"/>
        </w:rPr>
        <w:t xml:space="preserve">zono, el Convenio de Basilea sobre el Control de los Movimientos Transfronterizos de los Desechos Peligrosos y su Eliminación y el Convenio de Estocolmo sobre Contaminantes Orgánicos Persistentes, lo que representa la proporción más alta de todas las actividades concretas del cuestionario (véanse también el objetivo A y </w:t>
      </w:r>
      <w:r w:rsidR="00C52DD4" w:rsidRPr="00BB0A7A">
        <w:rPr>
          <w:lang w:val="es-ES_tradnl"/>
        </w:rPr>
        <w:t xml:space="preserve">el </w:t>
      </w:r>
      <w:r w:rsidRPr="00BB0A7A">
        <w:rPr>
          <w:lang w:val="es-ES_tradnl"/>
        </w:rPr>
        <w:t>indicador 2</w:t>
      </w:r>
      <w:r w:rsidR="00C52DD4" w:rsidRPr="00BB0A7A">
        <w:rPr>
          <w:lang w:val="es-ES_tradnl"/>
        </w:rPr>
        <w:t>, relativos a</w:t>
      </w:r>
      <w:r w:rsidRPr="00BB0A7A">
        <w:rPr>
          <w:lang w:val="es-ES_tradnl"/>
        </w:rPr>
        <w:t>l control de los contaminantes orgánicos persistentes y la sustancias que agotan la capa de ozo</w:t>
      </w:r>
      <w:r w:rsidR="00C52DD4" w:rsidRPr="00BB0A7A">
        <w:rPr>
          <w:lang w:val="es-ES_tradnl"/>
        </w:rPr>
        <w:t>no). La proporción de interesado</w:t>
      </w:r>
      <w:r w:rsidR="004D7B05" w:rsidRPr="00BB0A7A">
        <w:rPr>
          <w:lang w:val="es-ES_tradnl"/>
        </w:rPr>
        <w:t>s que seleccionaron</w:t>
      </w:r>
      <w:r w:rsidRPr="00BB0A7A">
        <w:rPr>
          <w:lang w:val="es-ES_tradnl"/>
        </w:rPr>
        <w:t xml:space="preserve"> mecanismos para aplicar los convenios de la Organización Marítima Internacional (OMI) y la Organización Internacional del Trabajo (OIT) sigue siendo considerablemente inferior a la correspondiente a los productos químicos y los desechos, pero estos y los convenios de la Comisió</w:t>
      </w:r>
      <w:r w:rsidR="00C762F2">
        <w:rPr>
          <w:lang w:val="es-ES_tradnl"/>
        </w:rPr>
        <w:t>n Económica para Europa </w:t>
      </w:r>
      <w:r w:rsidR="00216627" w:rsidRPr="00BB0A7A">
        <w:rPr>
          <w:lang w:val="es-ES_tradnl"/>
        </w:rPr>
        <w:t xml:space="preserve">(CEPE) </w:t>
      </w:r>
      <w:r w:rsidR="004D7B05" w:rsidRPr="00BB0A7A">
        <w:rPr>
          <w:lang w:val="es-ES_tradnl"/>
        </w:rPr>
        <w:t>han sido objeto de</w:t>
      </w:r>
      <w:r w:rsidRPr="00BB0A7A">
        <w:rPr>
          <w:lang w:val="es-ES_tradnl"/>
        </w:rPr>
        <w:t xml:space="preserve"> más progresos desde el </w:t>
      </w:r>
      <w:r w:rsidR="008E43C5" w:rsidRPr="00BB0A7A">
        <w:rPr>
          <w:lang w:val="es-ES_tradnl"/>
        </w:rPr>
        <w:t>primer período de presentación de informes</w:t>
      </w:r>
      <w:r w:rsidRPr="00BB0A7A">
        <w:rPr>
          <w:lang w:val="es-ES_tradnl"/>
        </w:rPr>
        <w:t>, gracias en gran medida a las respuestas positivas de los Estados de Europa Occidental y otros Estados.</w:t>
      </w:r>
    </w:p>
    <w:p w:rsidR="008F4A74" w:rsidRDefault="008F4A74">
      <w:pPr>
        <w:spacing w:after="0" w:line="240" w:lineRule="auto"/>
        <w:rPr>
          <w:rFonts w:ascii="Times New Roman" w:eastAsia="Times New Roman" w:hAnsi="Times New Roman" w:cs="Times New Roman"/>
          <w:sz w:val="20"/>
          <w:szCs w:val="20"/>
          <w:lang w:val="es-ES_tradnl"/>
        </w:rPr>
      </w:pPr>
      <w:r>
        <w:rPr>
          <w:lang w:val="es-ES_tradnl"/>
        </w:rPr>
        <w:br w:type="page"/>
      </w:r>
    </w:p>
    <w:p w:rsidR="0061538A" w:rsidRDefault="003A1947" w:rsidP="00745DC4">
      <w:pPr>
        <w:pStyle w:val="Normalnumber"/>
        <w:numPr>
          <w:ilvl w:val="0"/>
          <w:numId w:val="8"/>
        </w:numPr>
        <w:tabs>
          <w:tab w:val="clear" w:pos="567"/>
          <w:tab w:val="clear" w:pos="1247"/>
          <w:tab w:val="clear" w:pos="1814"/>
          <w:tab w:val="clear" w:pos="2381"/>
          <w:tab w:val="clear" w:pos="2948"/>
          <w:tab w:val="clear" w:pos="3515"/>
        </w:tabs>
        <w:spacing w:after="240"/>
        <w:rPr>
          <w:lang w:val="es-ES_tradnl"/>
        </w:rPr>
      </w:pPr>
      <w:r w:rsidRPr="00BB0A7A">
        <w:rPr>
          <w:lang w:val="es-ES_tradnl"/>
        </w:rPr>
        <w:t>Una proporción considerable de los interesados</w:t>
      </w:r>
      <w:r w:rsidR="00F16F4F" w:rsidRPr="00BB0A7A">
        <w:rPr>
          <w:lang w:val="es-ES_tradnl"/>
        </w:rPr>
        <w:t xml:space="preserve"> comunicaron su compromiso con e</w:t>
      </w:r>
      <w:r w:rsidR="008F4A74">
        <w:rPr>
          <w:lang w:val="es-ES_tradnl"/>
        </w:rPr>
        <w:t>l Enfoque </w:t>
      </w:r>
      <w:r w:rsidRPr="00BB0A7A">
        <w:rPr>
          <w:lang w:val="es-ES_tradnl"/>
        </w:rPr>
        <w:t>Estratégico en e</w:t>
      </w:r>
      <w:r w:rsidR="004D7B05" w:rsidRPr="00BB0A7A">
        <w:rPr>
          <w:lang w:val="es-ES_tradnl"/>
        </w:rPr>
        <w:t xml:space="preserve">l </w:t>
      </w:r>
      <w:r w:rsidR="008E43C5" w:rsidRPr="00BB0A7A">
        <w:rPr>
          <w:lang w:val="es-ES_tradnl"/>
        </w:rPr>
        <w:t>primer período de presentación de informes</w:t>
      </w:r>
      <w:r w:rsidR="004D7B05" w:rsidRPr="00BB0A7A">
        <w:rPr>
          <w:lang w:val="es-ES_tradnl"/>
        </w:rPr>
        <w:t xml:space="preserve">, pero en el </w:t>
      </w:r>
      <w:r w:rsidR="008E43C5" w:rsidRPr="00BB0A7A">
        <w:rPr>
          <w:lang w:val="es-ES_tradnl"/>
        </w:rPr>
        <w:t>segundo período de presentación de informes</w:t>
      </w:r>
      <w:r w:rsidR="004D7B05" w:rsidRPr="00BB0A7A">
        <w:rPr>
          <w:lang w:val="es-ES_tradnl"/>
        </w:rPr>
        <w:t xml:space="preserve"> se registra</w:t>
      </w:r>
      <w:r w:rsidRPr="00BB0A7A">
        <w:rPr>
          <w:lang w:val="es-ES_tradnl"/>
        </w:rPr>
        <w:t xml:space="preserve"> una leve disminución. Esta mengua podría deberse en parte a que algunas de las opciones no son acumulativas (</w:t>
      </w:r>
      <w:r w:rsidR="004D7B05" w:rsidRPr="00BB0A7A">
        <w:rPr>
          <w:lang w:val="es-ES_tradnl"/>
        </w:rPr>
        <w:t xml:space="preserve">como, </w:t>
      </w:r>
      <w:r w:rsidRPr="00BB0A7A">
        <w:rPr>
          <w:lang w:val="es-ES_tradnl"/>
        </w:rPr>
        <w:t>por ejemplo, el plan de aplicación del Enfoque Estratégico, que tal vez solo se lleve a cabo una vez o no se actualice regularmente)</w:t>
      </w:r>
      <w:r w:rsidR="004D7B05" w:rsidRPr="00BB0A7A">
        <w:rPr>
          <w:lang w:val="es-ES_tradnl"/>
        </w:rPr>
        <w:t>,</w:t>
      </w:r>
      <w:r w:rsidRPr="00BB0A7A">
        <w:rPr>
          <w:lang w:val="es-ES_tradnl"/>
        </w:rPr>
        <w:t xml:space="preserve"> o no son aplicables en algunos países (por ejemplo, puede darse el caso de que algunos países carezcan de acuerdos institucionales específicos para </w:t>
      </w:r>
      <w:r w:rsidR="004D7B05" w:rsidRPr="00BB0A7A">
        <w:rPr>
          <w:lang w:val="es-ES_tradnl"/>
        </w:rPr>
        <w:t>el Enfoque Estratégico y recojan</w:t>
      </w:r>
      <w:r w:rsidRPr="00BB0A7A">
        <w:rPr>
          <w:lang w:val="es-ES_tradnl"/>
        </w:rPr>
        <w:t xml:space="preserve"> es</w:t>
      </w:r>
      <w:r w:rsidR="004D7B05" w:rsidRPr="00BB0A7A">
        <w:rPr>
          <w:lang w:val="es-ES_tradnl"/>
        </w:rPr>
        <w:t>t</w:t>
      </w:r>
      <w:r w:rsidRPr="00BB0A7A">
        <w:rPr>
          <w:lang w:val="es-ES_tradnl"/>
        </w:rPr>
        <w:t>as cuestiones e</w:t>
      </w:r>
      <w:r w:rsidR="004D7B05" w:rsidRPr="00BB0A7A">
        <w:rPr>
          <w:lang w:val="es-ES_tradnl"/>
        </w:rPr>
        <w:t>n otros marcos). Los interesados</w:t>
      </w:r>
      <w:r w:rsidRPr="00BB0A7A">
        <w:rPr>
          <w:lang w:val="es-ES_tradnl"/>
        </w:rPr>
        <w:t xml:space="preserve"> de la región de África comunicaron comités de múltiples interesados bastante más diversos y una </w:t>
      </w:r>
      <w:r w:rsidR="004D7B05" w:rsidRPr="00BB0A7A">
        <w:rPr>
          <w:lang w:val="es-ES_tradnl"/>
        </w:rPr>
        <w:t>representación ministerial más variada</w:t>
      </w:r>
      <w:r w:rsidRPr="00BB0A7A">
        <w:rPr>
          <w:lang w:val="es-ES_tradnl"/>
        </w:rPr>
        <w:t xml:space="preserve"> que las demás regiones.</w:t>
      </w:r>
    </w:p>
    <w:tbl>
      <w:tblPr>
        <w:tblW w:w="0" w:type="auto"/>
        <w:tblInd w:w="1247" w:type="dxa"/>
        <w:tblLayout w:type="fixed"/>
        <w:tblLook w:val="04A0" w:firstRow="1" w:lastRow="0" w:firstColumn="1" w:lastColumn="0" w:noHBand="0" w:noVBand="1"/>
      </w:tblPr>
      <w:tblGrid>
        <w:gridCol w:w="1980"/>
        <w:gridCol w:w="2836"/>
        <w:gridCol w:w="3649"/>
      </w:tblGrid>
      <w:tr w:rsidR="003A1947" w:rsidRPr="009337B3">
        <w:tc>
          <w:tcPr>
            <w:tcW w:w="1980" w:type="dxa"/>
            <w:tcBorders>
              <w:top w:val="single" w:sz="4" w:space="0" w:color="auto"/>
              <w:bottom w:val="single" w:sz="12" w:space="0" w:color="auto"/>
            </w:tcBorders>
            <w:shd w:val="clear" w:color="auto" w:fill="auto"/>
          </w:tcPr>
          <w:p w:rsidR="003A1947" w:rsidRPr="00BB0A7A" w:rsidRDefault="003A1947" w:rsidP="0058788B">
            <w:pPr>
              <w:spacing w:after="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Elemento básico de la orientación y las directrices generales</w:t>
            </w:r>
          </w:p>
        </w:tc>
        <w:tc>
          <w:tcPr>
            <w:tcW w:w="2836" w:type="dxa"/>
            <w:tcBorders>
              <w:top w:val="single" w:sz="4" w:space="0" w:color="auto"/>
              <w:bottom w:val="single" w:sz="12" w:space="0" w:color="auto"/>
            </w:tcBorders>
            <w:shd w:val="clear" w:color="auto" w:fill="auto"/>
          </w:tcPr>
          <w:p w:rsidR="003A1947" w:rsidRPr="00BB0A7A" w:rsidRDefault="003A1947" w:rsidP="0058788B">
            <w:pPr>
              <w:spacing w:after="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Indicadores de progresos y cuestiones pertinentes (objetivo C)</w:t>
            </w:r>
          </w:p>
        </w:tc>
        <w:tc>
          <w:tcPr>
            <w:tcW w:w="3649" w:type="dxa"/>
            <w:tcBorders>
              <w:top w:val="single" w:sz="4" w:space="0" w:color="auto"/>
              <w:bottom w:val="single" w:sz="12" w:space="0" w:color="auto"/>
            </w:tcBorders>
            <w:shd w:val="clear" w:color="auto" w:fill="auto"/>
          </w:tcPr>
          <w:p w:rsidR="003A1947" w:rsidRPr="00BB0A7A" w:rsidRDefault="004159D4" w:rsidP="0058788B">
            <w:pPr>
              <w:spacing w:after="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Progresos logr</w:t>
            </w:r>
            <w:r w:rsidR="00BC5129" w:rsidRPr="00BB0A7A">
              <w:rPr>
                <w:rFonts w:ascii="Times New Roman" w:hAnsi="Times New Roman"/>
                <w:i/>
                <w:sz w:val="18"/>
                <w:lang w:val="es-ES_tradnl"/>
              </w:rPr>
              <w:t>ados entre el primer y el segundo período de presentación de informes (incluidos los casos de éxito a nivel regional)</w:t>
            </w:r>
          </w:p>
        </w:tc>
      </w:tr>
      <w:tr w:rsidR="003A1947" w:rsidRPr="009337B3">
        <w:tc>
          <w:tcPr>
            <w:tcW w:w="1980" w:type="dxa"/>
            <w:tcBorders>
              <w:top w:val="single" w:sz="12" w:space="0" w:color="auto"/>
              <w:bottom w:val="single" w:sz="4" w:space="0" w:color="auto"/>
            </w:tcBorders>
            <w:shd w:val="clear" w:color="auto" w:fill="auto"/>
          </w:tcPr>
          <w:p w:rsidR="003A1947" w:rsidRPr="00BB0A7A" w:rsidRDefault="00C25F30"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III</w:t>
            </w:r>
            <w:r w:rsidR="004D51AC" w:rsidRPr="00BB0A7A">
              <w:rPr>
                <w:rFonts w:ascii="Times New Roman" w:hAnsi="Times New Roman"/>
                <w:sz w:val="18"/>
                <w:lang w:val="es-ES_tradnl"/>
              </w:rPr>
              <w:t>.</w:t>
            </w:r>
            <w:r w:rsidRPr="00BB0A7A">
              <w:rPr>
                <w:rFonts w:ascii="Times New Roman" w:hAnsi="Times New Roman"/>
                <w:sz w:val="18"/>
                <w:lang w:val="es-ES_tradnl"/>
              </w:rPr>
              <w:t xml:space="preserve"> Aplicación de los acuerdos </w:t>
            </w:r>
            <w:r w:rsidR="004D51AC" w:rsidRPr="00BB0A7A">
              <w:rPr>
                <w:rFonts w:ascii="Times New Roman" w:hAnsi="Times New Roman"/>
                <w:sz w:val="18"/>
                <w:lang w:val="es-ES_tradnl"/>
              </w:rPr>
              <w:t>ambientales</w:t>
            </w:r>
            <w:r w:rsidRPr="00BB0A7A">
              <w:rPr>
                <w:rFonts w:ascii="Times New Roman" w:hAnsi="Times New Roman"/>
                <w:sz w:val="18"/>
                <w:lang w:val="es-ES_tradnl"/>
              </w:rPr>
              <w:t xml:space="preserve"> multilaterales sobre</w:t>
            </w:r>
            <w:r w:rsidR="0071394B" w:rsidRPr="00BB0A7A">
              <w:rPr>
                <w:rFonts w:ascii="Times New Roman" w:hAnsi="Times New Roman"/>
                <w:sz w:val="18"/>
                <w:lang w:val="es-ES_tradnl"/>
              </w:rPr>
              <w:t xml:space="preserve"> productos químicos y desechos</w:t>
            </w:r>
            <w:r w:rsidR="004D7B05" w:rsidRPr="00BB0A7A">
              <w:rPr>
                <w:rFonts w:ascii="Times New Roman" w:hAnsi="Times New Roman"/>
                <w:sz w:val="18"/>
                <w:lang w:val="es-ES_tradnl"/>
              </w:rPr>
              <w:t xml:space="preserve"> que correspondan, </w:t>
            </w:r>
            <w:r w:rsidR="0071394B" w:rsidRPr="00BB0A7A">
              <w:rPr>
                <w:rFonts w:ascii="Times New Roman" w:hAnsi="Times New Roman"/>
                <w:sz w:val="18"/>
                <w:lang w:val="es-ES_tradnl"/>
              </w:rPr>
              <w:t xml:space="preserve">así como </w:t>
            </w:r>
            <w:r w:rsidRPr="00BB0A7A">
              <w:rPr>
                <w:rFonts w:ascii="Times New Roman" w:hAnsi="Times New Roman"/>
                <w:sz w:val="18"/>
                <w:lang w:val="es-ES_tradnl"/>
              </w:rPr>
              <w:t>los convenios pertinentes sobre salud, empleo y otros asuntos, y los mecanismos voluntarios</w:t>
            </w:r>
          </w:p>
        </w:tc>
        <w:tc>
          <w:tcPr>
            <w:tcW w:w="2836" w:type="dxa"/>
            <w:tcBorders>
              <w:top w:val="single" w:sz="12" w:space="0" w:color="auto"/>
              <w:bottom w:val="single" w:sz="4" w:space="0" w:color="auto"/>
            </w:tcBorders>
            <w:shd w:val="clear" w:color="auto" w:fill="auto"/>
          </w:tcPr>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12, relativo a la aplicación de las prioridades acordadas internacionalmente</w:t>
            </w:r>
          </w:p>
        </w:tc>
        <w:tc>
          <w:tcPr>
            <w:tcW w:w="3649" w:type="dxa"/>
            <w:tcBorders>
              <w:top w:val="single" w:sz="12" w:space="0" w:color="auto"/>
              <w:bottom w:val="single" w:sz="4" w:space="0" w:color="auto"/>
            </w:tcBorders>
            <w:shd w:val="clear" w:color="auto" w:fill="auto"/>
          </w:tcPr>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Escasos progres</w:t>
            </w:r>
            <w:r w:rsidR="004D7B05" w:rsidRPr="00BB0A7A">
              <w:rPr>
                <w:rFonts w:ascii="Times New Roman" w:hAnsi="Times New Roman"/>
                <w:sz w:val="18"/>
                <w:lang w:val="es-ES_tradnl"/>
              </w:rPr>
              <w:t>os a partir de una base alta (&gt;</w:t>
            </w:r>
            <w:r w:rsidRPr="00BB0A7A">
              <w:rPr>
                <w:rFonts w:ascii="Times New Roman" w:hAnsi="Times New Roman"/>
                <w:sz w:val="18"/>
                <w:lang w:val="es-ES_tradnl"/>
              </w:rPr>
              <w:t xml:space="preserve">80%) en la aplicación del Convenio de Basilea, el Convenio de Estocolmo, el Convenio de Rotterdam sobre el Procedimiento de Consentimiento Fundamentado Previo Aplicable a Ciertos Plaguicidas y Productos Químicos Peligrosos Objeto </w:t>
            </w:r>
            <w:r w:rsidR="00271B78" w:rsidRPr="00BB0A7A">
              <w:rPr>
                <w:rFonts w:ascii="Times New Roman" w:hAnsi="Times New Roman"/>
                <w:sz w:val="18"/>
                <w:lang w:val="es-ES_tradnl"/>
              </w:rPr>
              <w:t>de Comercio Internacional y el P</w:t>
            </w:r>
            <w:r w:rsidRPr="00BB0A7A">
              <w:rPr>
                <w:rFonts w:ascii="Times New Roman" w:hAnsi="Times New Roman"/>
                <w:sz w:val="18"/>
                <w:lang w:val="es-ES_tradnl"/>
              </w:rPr>
              <w:t>rotocolo de Montreal</w:t>
            </w:r>
          </w:p>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Aumento de entre un 6% y un 11% en la aplicación de los co</w:t>
            </w:r>
            <w:r w:rsidR="004D7B05" w:rsidRPr="00BB0A7A">
              <w:rPr>
                <w:rFonts w:ascii="Times New Roman" w:hAnsi="Times New Roman"/>
                <w:sz w:val="18"/>
                <w:lang w:val="es-ES_tradnl"/>
              </w:rPr>
              <w:t>nvenios de la O</w:t>
            </w:r>
            <w:r w:rsidR="0071394B" w:rsidRPr="00BB0A7A">
              <w:rPr>
                <w:rFonts w:ascii="Times New Roman" w:hAnsi="Times New Roman"/>
                <w:sz w:val="18"/>
                <w:lang w:val="es-ES_tradnl"/>
              </w:rPr>
              <w:t xml:space="preserve">rganización </w:t>
            </w:r>
            <w:r w:rsidR="004D7B05" w:rsidRPr="00BB0A7A">
              <w:rPr>
                <w:rFonts w:ascii="Times New Roman" w:hAnsi="Times New Roman"/>
                <w:sz w:val="18"/>
                <w:lang w:val="es-ES_tradnl"/>
              </w:rPr>
              <w:t>I</w:t>
            </w:r>
            <w:r w:rsidR="0071394B" w:rsidRPr="00BB0A7A">
              <w:rPr>
                <w:rFonts w:ascii="Times New Roman" w:hAnsi="Times New Roman"/>
                <w:sz w:val="18"/>
                <w:lang w:val="es-ES_tradnl"/>
              </w:rPr>
              <w:t xml:space="preserve">nternacional del </w:t>
            </w:r>
            <w:r w:rsidR="004D7B05" w:rsidRPr="00BB0A7A">
              <w:rPr>
                <w:rFonts w:ascii="Times New Roman" w:hAnsi="Times New Roman"/>
                <w:sz w:val="18"/>
                <w:lang w:val="es-ES_tradnl"/>
              </w:rPr>
              <w:t>T</w:t>
            </w:r>
            <w:r w:rsidR="0071394B" w:rsidRPr="00BB0A7A">
              <w:rPr>
                <w:rFonts w:ascii="Times New Roman" w:hAnsi="Times New Roman"/>
                <w:sz w:val="18"/>
                <w:lang w:val="es-ES_tradnl"/>
              </w:rPr>
              <w:t>rabajo</w:t>
            </w:r>
            <w:r w:rsidR="004D7B05" w:rsidRPr="00BB0A7A">
              <w:rPr>
                <w:rFonts w:ascii="Times New Roman" w:hAnsi="Times New Roman"/>
                <w:sz w:val="18"/>
                <w:lang w:val="es-ES_tradnl"/>
              </w:rPr>
              <w:t>,</w:t>
            </w:r>
            <w:r w:rsidRPr="00BB0A7A">
              <w:rPr>
                <w:rFonts w:ascii="Times New Roman" w:hAnsi="Times New Roman"/>
                <w:sz w:val="18"/>
                <w:lang w:val="es-ES_tradnl"/>
              </w:rPr>
              <w:t xml:space="preserve"> entre un 7% y un</w:t>
            </w:r>
            <w:r w:rsidR="00020934" w:rsidRPr="00BB0A7A">
              <w:rPr>
                <w:rFonts w:ascii="Times New Roman" w:hAnsi="Times New Roman"/>
                <w:sz w:val="18"/>
                <w:lang w:val="es-ES_tradnl"/>
              </w:rPr>
              <w:t> </w:t>
            </w:r>
            <w:r w:rsidRPr="00BB0A7A">
              <w:rPr>
                <w:rFonts w:ascii="Times New Roman" w:hAnsi="Times New Roman"/>
                <w:sz w:val="18"/>
                <w:lang w:val="es-ES_tradnl"/>
              </w:rPr>
              <w:t xml:space="preserve">16% en la </w:t>
            </w:r>
            <w:r w:rsidR="004D7B05" w:rsidRPr="00BB0A7A">
              <w:rPr>
                <w:rFonts w:ascii="Times New Roman" w:hAnsi="Times New Roman"/>
                <w:sz w:val="18"/>
                <w:lang w:val="es-ES_tradnl"/>
              </w:rPr>
              <w:t>de los convenios de la O</w:t>
            </w:r>
            <w:r w:rsidR="0071394B" w:rsidRPr="00BB0A7A">
              <w:rPr>
                <w:rFonts w:ascii="Times New Roman" w:hAnsi="Times New Roman"/>
                <w:sz w:val="18"/>
                <w:lang w:val="es-ES_tradnl"/>
              </w:rPr>
              <w:t xml:space="preserve">rganización </w:t>
            </w:r>
            <w:r w:rsidR="004D7B05" w:rsidRPr="00BB0A7A">
              <w:rPr>
                <w:rFonts w:ascii="Times New Roman" w:hAnsi="Times New Roman"/>
                <w:sz w:val="18"/>
                <w:lang w:val="es-ES_tradnl"/>
              </w:rPr>
              <w:t>M</w:t>
            </w:r>
            <w:r w:rsidR="0071394B" w:rsidRPr="00BB0A7A">
              <w:rPr>
                <w:rFonts w:ascii="Times New Roman" w:hAnsi="Times New Roman"/>
                <w:sz w:val="18"/>
                <w:lang w:val="es-ES_tradnl"/>
              </w:rPr>
              <w:t xml:space="preserve">arítima </w:t>
            </w:r>
            <w:r w:rsidR="004D7B05" w:rsidRPr="00BB0A7A">
              <w:rPr>
                <w:rFonts w:ascii="Times New Roman" w:hAnsi="Times New Roman"/>
                <w:sz w:val="18"/>
                <w:lang w:val="es-ES_tradnl"/>
              </w:rPr>
              <w:t>I</w:t>
            </w:r>
            <w:r w:rsidR="0071394B" w:rsidRPr="00BB0A7A">
              <w:rPr>
                <w:rFonts w:ascii="Times New Roman" w:hAnsi="Times New Roman"/>
                <w:sz w:val="18"/>
                <w:lang w:val="es-ES_tradnl"/>
              </w:rPr>
              <w:t>nternacional</w:t>
            </w:r>
            <w:r w:rsidR="004D7B05" w:rsidRPr="00BB0A7A">
              <w:rPr>
                <w:rFonts w:ascii="Times New Roman" w:hAnsi="Times New Roman"/>
                <w:sz w:val="18"/>
                <w:lang w:val="es-ES_tradnl"/>
              </w:rPr>
              <w:t xml:space="preserve"> y</w:t>
            </w:r>
            <w:r w:rsidRPr="00BB0A7A">
              <w:rPr>
                <w:rFonts w:ascii="Times New Roman" w:hAnsi="Times New Roman"/>
                <w:sz w:val="18"/>
                <w:lang w:val="es-ES_tradnl"/>
              </w:rPr>
              <w:t xml:space="preserve"> entre un 14% y un 20% en la de los convenios de la</w:t>
            </w:r>
            <w:r w:rsidR="00020934" w:rsidRPr="00BB0A7A">
              <w:rPr>
                <w:rFonts w:ascii="Times New Roman" w:hAnsi="Times New Roman"/>
                <w:sz w:val="18"/>
                <w:lang w:val="es-ES_tradnl"/>
              </w:rPr>
              <w:t> </w:t>
            </w:r>
            <w:r w:rsidRPr="00BB0A7A">
              <w:rPr>
                <w:rFonts w:ascii="Times New Roman" w:hAnsi="Times New Roman"/>
                <w:sz w:val="18"/>
                <w:lang w:val="es-ES_tradnl"/>
              </w:rPr>
              <w:t>Comisión Económica para Europa (gráfico</w:t>
            </w:r>
            <w:r w:rsidR="00020934" w:rsidRPr="00BB0A7A">
              <w:rPr>
                <w:rFonts w:ascii="Times New Roman" w:hAnsi="Times New Roman"/>
                <w:sz w:val="18"/>
                <w:lang w:val="es-ES_tradnl"/>
              </w:rPr>
              <w:t> </w:t>
            </w:r>
            <w:r w:rsidRPr="00BB0A7A">
              <w:rPr>
                <w:rFonts w:ascii="Times New Roman" w:hAnsi="Times New Roman"/>
                <w:sz w:val="18"/>
                <w:lang w:val="es-ES_tradnl"/>
              </w:rPr>
              <w:t>IV a))</w:t>
            </w:r>
          </w:p>
        </w:tc>
      </w:tr>
      <w:tr w:rsidR="003A1947" w:rsidRPr="009337B3">
        <w:tc>
          <w:tcPr>
            <w:tcW w:w="1980" w:type="dxa"/>
            <w:tcBorders>
              <w:top w:val="single" w:sz="4" w:space="0" w:color="auto"/>
              <w:bottom w:val="single" w:sz="12" w:space="0" w:color="auto"/>
            </w:tcBorders>
            <w:shd w:val="clear" w:color="auto" w:fill="auto"/>
          </w:tcPr>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IV</w:t>
            </w:r>
            <w:r w:rsidR="004D51AC" w:rsidRPr="00BB0A7A">
              <w:rPr>
                <w:rFonts w:ascii="Times New Roman" w:hAnsi="Times New Roman"/>
                <w:sz w:val="18"/>
                <w:lang w:val="es-ES_tradnl"/>
              </w:rPr>
              <w:t>.</w:t>
            </w:r>
            <w:r w:rsidRPr="00BB0A7A">
              <w:rPr>
                <w:rFonts w:ascii="Times New Roman" w:hAnsi="Times New Roman"/>
                <w:sz w:val="18"/>
                <w:lang w:val="es-ES_tradnl"/>
              </w:rPr>
              <w:t xml:space="preserve"> Marcos institucionales sólidos y mecanismos de coordinación entre los interesados pertinentes</w:t>
            </w:r>
          </w:p>
        </w:tc>
        <w:tc>
          <w:tcPr>
            <w:tcW w:w="2836" w:type="dxa"/>
            <w:tcBorders>
              <w:top w:val="single" w:sz="4" w:space="0" w:color="auto"/>
              <w:bottom w:val="single" w:sz="12" w:space="0" w:color="auto"/>
            </w:tcBorders>
            <w:shd w:val="clear" w:color="auto" w:fill="auto"/>
          </w:tcPr>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w:t>
            </w:r>
            <w:r w:rsidR="000264C1" w:rsidRPr="00BB0A7A">
              <w:rPr>
                <w:rFonts w:ascii="Times New Roman" w:hAnsi="Times New Roman"/>
                <w:sz w:val="18"/>
                <w:lang w:val="es-ES_tradnl"/>
              </w:rPr>
              <w:t>dicador 10, relativo</w:t>
            </w:r>
            <w:r w:rsidRPr="00BB0A7A">
              <w:rPr>
                <w:rFonts w:ascii="Times New Roman" w:hAnsi="Times New Roman"/>
                <w:sz w:val="18"/>
                <w:lang w:val="es-ES_tradnl"/>
              </w:rPr>
              <w:t xml:space="preserve"> al </w:t>
            </w:r>
            <w:r w:rsidR="000264C1" w:rsidRPr="00BB0A7A">
              <w:rPr>
                <w:rFonts w:ascii="Times New Roman" w:hAnsi="Times New Roman"/>
                <w:sz w:val="18"/>
                <w:lang w:val="es-ES_tradnl"/>
              </w:rPr>
              <w:t xml:space="preserve">compromiso con el </w:t>
            </w:r>
            <w:r w:rsidR="00271B78" w:rsidRPr="00BB0A7A">
              <w:rPr>
                <w:rFonts w:ascii="Times New Roman" w:hAnsi="Times New Roman"/>
                <w:sz w:val="18"/>
                <w:lang w:val="es-ES_tradnl"/>
              </w:rPr>
              <w:t>Enfoque </w:t>
            </w:r>
            <w:r w:rsidRPr="00BB0A7A">
              <w:rPr>
                <w:rFonts w:ascii="Times New Roman" w:hAnsi="Times New Roman"/>
                <w:sz w:val="18"/>
                <w:lang w:val="es-ES_tradnl"/>
              </w:rPr>
              <w:t>Estratégico</w:t>
            </w:r>
          </w:p>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p>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11, relativo a la participación de los interesados en los mecanismos de coordinación</w:t>
            </w:r>
          </w:p>
        </w:tc>
        <w:tc>
          <w:tcPr>
            <w:tcW w:w="3649" w:type="dxa"/>
            <w:tcBorders>
              <w:top w:val="single" w:sz="4" w:space="0" w:color="auto"/>
              <w:bottom w:val="single" w:sz="12" w:space="0" w:color="auto"/>
            </w:tcBorders>
            <w:shd w:val="clear" w:color="auto" w:fill="auto"/>
          </w:tcPr>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w:t>
            </w:r>
            <w:r w:rsidR="004D7B05" w:rsidRPr="00BB0A7A">
              <w:rPr>
                <w:rFonts w:ascii="Times New Roman" w:hAnsi="Times New Roman"/>
                <w:sz w:val="18"/>
                <w:lang w:val="es-ES_tradnl"/>
              </w:rPr>
              <w:t>dor 10: reducción del 12% en el número de</w:t>
            </w:r>
            <w:r w:rsidRPr="00BB0A7A">
              <w:rPr>
                <w:rFonts w:ascii="Times New Roman" w:hAnsi="Times New Roman"/>
                <w:sz w:val="18"/>
                <w:lang w:val="es-ES_tradnl"/>
              </w:rPr>
              <w:t xml:space="preserve"> interesados que cuentan con un comité encargado de coordinar la aplicación del Enfoque Estratégico</w:t>
            </w:r>
          </w:p>
          <w:p w:rsidR="003A1947" w:rsidRPr="00BB0A7A" w:rsidRDefault="003A1947" w:rsidP="0058788B">
            <w:pPr>
              <w:keepNext/>
              <w:keepLines/>
              <w:spacing w:after="10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1</w:t>
            </w:r>
            <w:r w:rsidR="00271B78" w:rsidRPr="00BB0A7A">
              <w:rPr>
                <w:rFonts w:ascii="Times New Roman" w:hAnsi="Times New Roman"/>
                <w:sz w:val="18"/>
                <w:lang w:val="es-ES_tradnl"/>
              </w:rPr>
              <w:t>1: aumento de entre un 15% y un </w:t>
            </w:r>
            <w:r w:rsidRPr="00BB0A7A">
              <w:rPr>
                <w:rFonts w:ascii="Times New Roman" w:hAnsi="Times New Roman"/>
                <w:sz w:val="18"/>
                <w:lang w:val="es-ES_tradnl"/>
              </w:rPr>
              <w:t>16% en el número de interesados de los sectores sanitar</w:t>
            </w:r>
            <w:r w:rsidR="00271B78" w:rsidRPr="00BB0A7A">
              <w:rPr>
                <w:rFonts w:ascii="Times New Roman" w:hAnsi="Times New Roman"/>
                <w:sz w:val="18"/>
                <w:lang w:val="es-ES_tradnl"/>
              </w:rPr>
              <w:t>io y educativo representados en </w:t>
            </w:r>
            <w:r w:rsidRPr="00BB0A7A">
              <w:rPr>
                <w:rFonts w:ascii="Times New Roman" w:hAnsi="Times New Roman"/>
                <w:sz w:val="18"/>
                <w:lang w:val="es-ES_tradnl"/>
              </w:rPr>
              <w:t>los mecanismos de coordinación</w:t>
            </w:r>
          </w:p>
        </w:tc>
      </w:tr>
    </w:tbl>
    <w:p w:rsidR="00020934" w:rsidRPr="00BB0A7A" w:rsidRDefault="00020934">
      <w:pPr>
        <w:spacing w:after="0" w:line="240" w:lineRule="auto"/>
        <w:rPr>
          <w:rFonts w:ascii="Times New Roman" w:eastAsia="Times New Roman" w:hAnsi="Times New Roman" w:cs="Times New Roman"/>
          <w:bCs/>
          <w:sz w:val="20"/>
          <w:szCs w:val="20"/>
          <w:lang w:val="es-ES_tradnl"/>
        </w:rPr>
      </w:pPr>
      <w:r w:rsidRPr="00BB0A7A">
        <w:rPr>
          <w:b/>
          <w:lang w:val="es-ES_tradnl"/>
        </w:rPr>
        <w:br w:type="page"/>
      </w:r>
    </w:p>
    <w:p w:rsidR="00233BFD" w:rsidRPr="00BB0A7A" w:rsidRDefault="0061538A" w:rsidP="0058788B">
      <w:pPr>
        <w:pStyle w:val="Titletable"/>
        <w:keepNext w:val="0"/>
        <w:keepLines w:val="0"/>
        <w:spacing w:after="120"/>
        <w:rPr>
          <w:b w:val="0"/>
          <w:lang w:val="es-ES_tradnl"/>
        </w:rPr>
      </w:pPr>
      <w:r>
        <w:rPr>
          <w:b w:val="0"/>
          <w:lang w:val="es-ES_tradnl"/>
        </w:rPr>
        <w:t>Gráfico IV</w:t>
      </w:r>
    </w:p>
    <w:p w:rsidR="002A7F8A" w:rsidRPr="00BB0A7A" w:rsidRDefault="00CA4806" w:rsidP="0058788B">
      <w:pPr>
        <w:pStyle w:val="Titletable"/>
        <w:keepNext w:val="0"/>
        <w:keepLines w:val="0"/>
        <w:spacing w:after="120"/>
        <w:rPr>
          <w:lang w:val="es-ES_tradnl"/>
        </w:rPr>
      </w:pPr>
      <w:r w:rsidRPr="00BB0A7A">
        <w:rPr>
          <w:lang w:val="es-ES_tradnl"/>
        </w:rPr>
        <w:t>Au</w:t>
      </w:r>
      <w:r w:rsidR="003A1947" w:rsidRPr="00BB0A7A">
        <w:rPr>
          <w:lang w:val="es-ES_tradnl"/>
        </w:rPr>
        <w:t>mento del porcentaje</w:t>
      </w:r>
      <w:r w:rsidRPr="00BB0A7A">
        <w:rPr>
          <w:lang w:val="es-ES_tradnl"/>
        </w:rPr>
        <w:t xml:space="preserve"> de interesados que selecciona</w:t>
      </w:r>
      <w:r w:rsidR="003A1947" w:rsidRPr="00BB0A7A">
        <w:rPr>
          <w:lang w:val="es-ES_tradnl"/>
        </w:rPr>
        <w:t>n opciones relativas a los indicadores del objetivo C (</w:t>
      </w:r>
      <w:r w:rsidR="0071394B" w:rsidRPr="00BB0A7A">
        <w:rPr>
          <w:lang w:val="es-ES_tradnl"/>
        </w:rPr>
        <w:t>Comparación entre el segundo y el primer período de presentación de informes)</w:t>
      </w:r>
    </w:p>
    <w:p w:rsidR="00020934" w:rsidRPr="008F4A74" w:rsidRDefault="003F3311" w:rsidP="008F4A74">
      <w:pPr>
        <w:pStyle w:val="NormalNonumber"/>
      </w:pPr>
      <w:r w:rsidRPr="008F4A74">
        <w:rPr>
          <w:b w:val="0"/>
        </w:rPr>
        <w:t>a)</w:t>
      </w:r>
      <w:r w:rsidRPr="008F4A74">
        <w:rPr>
          <w:b w:val="0"/>
        </w:rPr>
        <w:tab/>
      </w:r>
      <w:r w:rsidR="00020934" w:rsidRPr="008F4A74">
        <w:t>Aumento de los interesados que cuentan con mecanismos para la aplicación de los convenios internacionales (elemento básico III, indicador 12)</w:t>
      </w:r>
    </w:p>
    <w:p w:rsidR="002A7F8A" w:rsidRPr="00BB0A7A" w:rsidRDefault="00CE2D5E" w:rsidP="008F4A74">
      <w:pPr>
        <w:pStyle w:val="NormalNonumber"/>
      </w:pPr>
      <w:r w:rsidRPr="00BB0A7A">
        <w:rPr>
          <w:noProof/>
        </w:rPr>
        <w:drawing>
          <wp:inline distT="0" distB="0" distL="0" distR="0" wp14:anchorId="1A9749E2" wp14:editId="38FA220B">
            <wp:extent cx="5080040" cy="7268321"/>
            <wp:effectExtent l="0" t="0" r="25400" b="27940"/>
            <wp:docPr id="1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33A7" w:rsidRPr="00BB0A7A" w:rsidRDefault="002A7F8A" w:rsidP="0061538A">
      <w:pPr>
        <w:pStyle w:val="Normalnumber"/>
        <w:numPr>
          <w:ilvl w:val="0"/>
          <w:numId w:val="0"/>
        </w:numPr>
        <w:spacing w:after="240"/>
        <w:ind w:left="1247"/>
        <w:rPr>
          <w:rFonts w:eastAsia="SimSun"/>
          <w:b/>
          <w:lang w:val="es-ES_tradnl"/>
        </w:rPr>
      </w:pPr>
      <w:r w:rsidRPr="00BB0A7A">
        <w:rPr>
          <w:rFonts w:eastAsia="SimSun"/>
          <w:lang w:val="es-ES_tradnl"/>
        </w:rPr>
        <w:br w:type="page"/>
      </w:r>
      <w:r w:rsidRPr="003F3311">
        <w:rPr>
          <w:lang w:val="es-ES_tradnl"/>
        </w:rPr>
        <w:t>b)</w:t>
      </w:r>
      <w:r w:rsidR="00117D8D" w:rsidRPr="003F3311">
        <w:rPr>
          <w:lang w:val="es-ES_tradnl"/>
        </w:rPr>
        <w:tab/>
      </w:r>
      <w:r w:rsidR="00CA4806" w:rsidRPr="0061538A">
        <w:rPr>
          <w:b/>
          <w:lang w:val="es-ES_tradnl"/>
        </w:rPr>
        <w:t>Au</w:t>
      </w:r>
      <w:r w:rsidR="008648C2" w:rsidRPr="0061538A">
        <w:rPr>
          <w:b/>
          <w:lang w:val="es-ES_tradnl"/>
        </w:rPr>
        <w:t>mento</w:t>
      </w:r>
      <w:r w:rsidR="008648C2" w:rsidRPr="00BB0A7A">
        <w:rPr>
          <w:b/>
          <w:lang w:val="es-ES_tradnl"/>
        </w:rPr>
        <w:t xml:space="preserve"> de</w:t>
      </w:r>
      <w:r w:rsidR="0071394B" w:rsidRPr="00BB0A7A">
        <w:rPr>
          <w:b/>
          <w:lang w:val="es-ES_tradnl"/>
        </w:rPr>
        <w:t xml:space="preserve"> </w:t>
      </w:r>
      <w:r w:rsidR="008648C2" w:rsidRPr="00BB0A7A">
        <w:rPr>
          <w:b/>
          <w:lang w:val="es-ES_tradnl"/>
        </w:rPr>
        <w:t>l</w:t>
      </w:r>
      <w:r w:rsidR="0071394B" w:rsidRPr="00BB0A7A">
        <w:rPr>
          <w:b/>
          <w:lang w:val="es-ES_tradnl"/>
        </w:rPr>
        <w:t xml:space="preserve">as formas de </w:t>
      </w:r>
      <w:r w:rsidR="00EB2DF2" w:rsidRPr="00BB0A7A">
        <w:rPr>
          <w:b/>
          <w:lang w:val="es-ES_tradnl"/>
        </w:rPr>
        <w:t>compromiso con e</w:t>
      </w:r>
      <w:r w:rsidR="008648C2" w:rsidRPr="00BB0A7A">
        <w:rPr>
          <w:b/>
          <w:lang w:val="es-ES_tradnl"/>
        </w:rPr>
        <w:t>l Enfoque Estratégico (elemento básico IV, indicador 10)</w:t>
      </w:r>
    </w:p>
    <w:p w:rsidR="00B17FA7" w:rsidRPr="00BB0A7A" w:rsidRDefault="00CE2D5E" w:rsidP="00B17FA7">
      <w:pPr>
        <w:pStyle w:val="Normalnumber"/>
        <w:numPr>
          <w:ilvl w:val="0"/>
          <w:numId w:val="0"/>
        </w:numPr>
        <w:spacing w:after="240"/>
        <w:ind w:left="1247"/>
        <w:rPr>
          <w:rFonts w:eastAsia="SimSun"/>
          <w:noProof/>
          <w:lang w:val="es-ES_tradnl"/>
        </w:rPr>
      </w:pPr>
      <w:r w:rsidRPr="00BB0A7A">
        <w:rPr>
          <w:rFonts w:eastAsia="SimSun"/>
          <w:noProof/>
          <w:lang w:val="en-US"/>
        </w:rPr>
        <w:drawing>
          <wp:inline distT="0" distB="0" distL="0" distR="0" wp14:anchorId="6EF8C9A6" wp14:editId="595CD459">
            <wp:extent cx="4544705" cy="2770496"/>
            <wp:effectExtent l="0" t="0" r="27305" b="11430"/>
            <wp:docPr id="1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7FA7" w:rsidRPr="00BB0A7A" w:rsidRDefault="00B17FA7" w:rsidP="0058788B">
      <w:pPr>
        <w:pStyle w:val="Normalnumber"/>
        <w:numPr>
          <w:ilvl w:val="0"/>
          <w:numId w:val="0"/>
        </w:numPr>
        <w:spacing w:after="240"/>
        <w:ind w:left="1247"/>
        <w:rPr>
          <w:rFonts w:eastAsia="SimSun"/>
          <w:b/>
          <w:lang w:val="es-ES_tradnl"/>
        </w:rPr>
      </w:pPr>
      <w:r w:rsidRPr="00BB0A7A">
        <w:rPr>
          <w:lang w:val="es-ES_tradnl"/>
        </w:rPr>
        <w:t>c)</w:t>
      </w:r>
      <w:r w:rsidR="00117D8D" w:rsidRPr="00BB0A7A">
        <w:rPr>
          <w:lang w:val="es-ES_tradnl"/>
        </w:rPr>
        <w:tab/>
      </w:r>
      <w:r w:rsidR="0071394B" w:rsidRPr="00BB0A7A">
        <w:rPr>
          <w:b/>
          <w:lang w:val="es-ES_tradnl"/>
        </w:rPr>
        <w:t>Aumento de los sectores participantes en mecanismos d</w:t>
      </w:r>
      <w:r w:rsidR="008F4A74">
        <w:rPr>
          <w:b/>
          <w:lang w:val="es-ES_tradnl"/>
        </w:rPr>
        <w:t>e coordinación (elemento básico </w:t>
      </w:r>
      <w:r w:rsidR="0071394B" w:rsidRPr="00BB0A7A">
        <w:rPr>
          <w:b/>
          <w:lang w:val="es-ES_tradnl"/>
        </w:rPr>
        <w:t>IV, indicador 11)</w:t>
      </w:r>
    </w:p>
    <w:p w:rsidR="002A7F8A" w:rsidRPr="00BB0A7A" w:rsidRDefault="00CE2D5E" w:rsidP="002A7F8A">
      <w:pPr>
        <w:pStyle w:val="Normalnumber"/>
        <w:numPr>
          <w:ilvl w:val="0"/>
          <w:numId w:val="0"/>
        </w:numPr>
        <w:spacing w:after="240"/>
        <w:ind w:left="1247"/>
        <w:rPr>
          <w:rFonts w:eastAsia="SimSun"/>
          <w:noProof/>
          <w:lang w:val="es-ES_tradnl"/>
        </w:rPr>
      </w:pPr>
      <w:r w:rsidRPr="00BB0A7A">
        <w:rPr>
          <w:rFonts w:eastAsia="SimSun"/>
          <w:noProof/>
          <w:color w:val="808080"/>
          <w:lang w:val="en-US"/>
        </w:rPr>
        <w:drawing>
          <wp:inline distT="0" distB="0" distL="0" distR="0" wp14:anchorId="594B3B83" wp14:editId="363700FC">
            <wp:extent cx="4517409" cy="2524835"/>
            <wp:effectExtent l="0" t="0" r="16510" b="27940"/>
            <wp:docPr id="3"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A1947" w:rsidRPr="00BB0A7A" w:rsidRDefault="006C33A7" w:rsidP="00115B18">
      <w:pPr>
        <w:pStyle w:val="CH3"/>
        <w:spacing w:before="120"/>
        <w:rPr>
          <w:sz w:val="24"/>
          <w:szCs w:val="24"/>
          <w:lang w:val="es-ES_tradnl"/>
        </w:rPr>
      </w:pPr>
      <w:r w:rsidRPr="00BB0A7A">
        <w:rPr>
          <w:sz w:val="24"/>
          <w:szCs w:val="24"/>
          <w:lang w:val="es-ES_tradnl"/>
        </w:rPr>
        <w:tab/>
      </w:r>
      <w:r w:rsidR="0071394B" w:rsidRPr="00BB0A7A">
        <w:rPr>
          <w:sz w:val="24"/>
          <w:szCs w:val="24"/>
          <w:lang w:val="es-ES_tradnl"/>
        </w:rPr>
        <w:t>D</w:t>
      </w:r>
      <w:r w:rsidR="00A04810" w:rsidRPr="00BB0A7A">
        <w:rPr>
          <w:sz w:val="24"/>
          <w:szCs w:val="24"/>
          <w:lang w:val="es-ES_tradnl"/>
        </w:rPr>
        <w:t>.</w:t>
      </w:r>
      <w:r w:rsidR="00233BFD" w:rsidRPr="00BB0A7A">
        <w:rPr>
          <w:sz w:val="24"/>
          <w:szCs w:val="24"/>
          <w:lang w:val="es-ES_tradnl"/>
        </w:rPr>
        <w:tab/>
      </w:r>
      <w:r w:rsidRPr="00BB0A7A">
        <w:rPr>
          <w:sz w:val="24"/>
          <w:szCs w:val="24"/>
          <w:lang w:val="es-ES_tradnl"/>
        </w:rPr>
        <w:t>Objetivo D: Creación de capacidad y cooperación técnica</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De los cinco objetivos de la Estrategia de política global, el D es el objetivo en cuya consecución se ha progresado menos desde el primer período de presentación</w:t>
      </w:r>
      <w:r w:rsidR="00DE4DDF" w:rsidRPr="00BB0A7A">
        <w:rPr>
          <w:lang w:val="es-ES_tradnl"/>
        </w:rPr>
        <w:t xml:space="preserve"> de informes. </w:t>
      </w:r>
      <w:r w:rsidR="00BF334F" w:rsidRPr="00BB0A7A">
        <w:rPr>
          <w:lang w:val="es-ES_tradnl"/>
        </w:rPr>
        <w:t>Una posible explicación son</w:t>
      </w:r>
      <w:r w:rsidRPr="00BB0A7A">
        <w:rPr>
          <w:lang w:val="es-ES_tradnl"/>
        </w:rPr>
        <w:t xml:space="preserve"> las dificultades que plantea la interpretación de las respuestas a las preguntas que no se aplican por igual a todos los encuestados, dado que, en general, los países donantes brindan ayuda técnica y financiera a los p</w:t>
      </w:r>
      <w:r w:rsidR="00184B40" w:rsidRPr="00BB0A7A">
        <w:rPr>
          <w:lang w:val="es-ES_tradnl"/>
        </w:rPr>
        <w:t xml:space="preserve">aíses receptores, y </w:t>
      </w:r>
      <w:r w:rsidRPr="00BB0A7A">
        <w:rPr>
          <w:lang w:val="es-ES_tradnl"/>
        </w:rPr>
        <w:t>estas categorías responde</w:t>
      </w:r>
      <w:r w:rsidR="00184B40" w:rsidRPr="00BB0A7A">
        <w:rPr>
          <w:lang w:val="es-ES_tradnl"/>
        </w:rPr>
        <w:t>n</w:t>
      </w:r>
      <w:r w:rsidRPr="00BB0A7A">
        <w:rPr>
          <w:lang w:val="es-ES_tradnl"/>
        </w:rPr>
        <w:t xml:space="preserve"> de mane</w:t>
      </w:r>
      <w:r w:rsidR="009E4F04" w:rsidRPr="00BB0A7A">
        <w:rPr>
          <w:lang w:val="es-ES_tradnl"/>
        </w:rPr>
        <w:t>ra diferente a las preguntas de la encuesta.</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En todo caso, los niveles de progreso comunicados respecto de los indicadores de este objetivo están por debajo de la media, incluidos los relativos a la incorporación de productos químicos en los planes nacionales de desarrollo. De los 12 proyectos del Programa </w:t>
      </w:r>
      <w:r w:rsidR="00AE4525">
        <w:rPr>
          <w:lang w:val="es-ES_tradnl"/>
        </w:rPr>
        <w:t>de Inicio R</w:t>
      </w:r>
      <w:r w:rsidRPr="00BB0A7A">
        <w:rPr>
          <w:lang w:val="es-ES_tradnl"/>
        </w:rPr>
        <w:t xml:space="preserve">ápido dirigidos a la incorporación de los productos químicos en los planes y procesos de desarrollo, la mitad se emprendió en países menos adelantados y otros países de bajos ingresos, y la otra mitad en países de ingresos medianos. </w:t>
      </w:r>
      <w:r w:rsidR="00184B40" w:rsidRPr="00BB0A7A">
        <w:rPr>
          <w:lang w:val="es-ES_tradnl"/>
        </w:rPr>
        <w:t>E</w:t>
      </w:r>
      <w:r w:rsidRPr="00BB0A7A">
        <w:rPr>
          <w:lang w:val="es-ES_tradnl"/>
        </w:rPr>
        <w:t xml:space="preserve">l número de países de </w:t>
      </w:r>
      <w:r w:rsidR="00184B40" w:rsidRPr="00BB0A7A">
        <w:rPr>
          <w:lang w:val="es-ES_tradnl"/>
        </w:rPr>
        <w:t>ingresos medianos que comunica</w:t>
      </w:r>
      <w:r w:rsidRPr="00BB0A7A">
        <w:rPr>
          <w:lang w:val="es-ES_tradnl"/>
        </w:rPr>
        <w:t>n que sus programas de asistencia al desarrollo comprende</w:t>
      </w:r>
      <w:r w:rsidR="002B6CA9" w:rsidRPr="00BB0A7A">
        <w:rPr>
          <w:lang w:val="es-ES_tradnl"/>
        </w:rPr>
        <w:t>n</w:t>
      </w:r>
      <w:r w:rsidRPr="00BB0A7A">
        <w:rPr>
          <w:lang w:val="es-ES_tradnl"/>
        </w:rPr>
        <w:t xml:space="preserve"> los productos químicos</w:t>
      </w:r>
      <w:r w:rsidR="00184B40" w:rsidRPr="00BB0A7A">
        <w:rPr>
          <w:lang w:val="es-ES_tradnl"/>
        </w:rPr>
        <w:t xml:space="preserve"> ha aumentado en cerca de un 10%, para llegar a un total de casi el</w:t>
      </w:r>
      <w:r w:rsidRPr="00BB0A7A">
        <w:rPr>
          <w:lang w:val="es-ES_tradnl"/>
        </w:rPr>
        <w:t xml:space="preserve"> 80% de países de </w:t>
      </w:r>
      <w:r w:rsidR="00184B40" w:rsidRPr="00BB0A7A">
        <w:rPr>
          <w:lang w:val="es-ES_tradnl"/>
        </w:rPr>
        <w:t>ingresos medianos más bajos y el</w:t>
      </w:r>
      <w:r w:rsidRPr="00BB0A7A">
        <w:rPr>
          <w:lang w:val="es-ES_tradnl"/>
        </w:rPr>
        <w:t xml:space="preserve"> 60% de países de ingresos medianos más altos.</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Se ha avanzado relativamente poco en el acceso a fuentes de fina</w:t>
      </w:r>
      <w:r w:rsidR="00AE4525">
        <w:rPr>
          <w:lang w:val="es-ES_tradnl"/>
        </w:rPr>
        <w:t>nciación ajenas al Programa de Inicio R</w:t>
      </w:r>
      <w:r w:rsidRPr="00BB0A7A">
        <w:rPr>
          <w:lang w:val="es-ES_tradnl"/>
        </w:rPr>
        <w:t xml:space="preserve">ápido y no se ha registrado ningún aumento neto del número de fuentes de financiación distintas seleccionadas por los </w:t>
      </w:r>
      <w:r w:rsidR="00184B40" w:rsidRPr="00BB0A7A">
        <w:rPr>
          <w:lang w:val="es-ES_tradnl"/>
        </w:rPr>
        <w:t>interesados</w:t>
      </w:r>
      <w:r w:rsidRPr="00BB0A7A">
        <w:rPr>
          <w:lang w:val="es-ES_tradnl"/>
        </w:rPr>
        <w:t xml:space="preserve">. Sin embargo, dado </w:t>
      </w:r>
      <w:r w:rsidR="00184B40" w:rsidRPr="00BB0A7A">
        <w:rPr>
          <w:lang w:val="es-ES_tradnl"/>
        </w:rPr>
        <w:t>que el número de interesados que comunicaron</w:t>
      </w:r>
      <w:r w:rsidRPr="00BB0A7A">
        <w:rPr>
          <w:lang w:val="es-ES_tradnl"/>
        </w:rPr>
        <w:t xml:space="preserve"> </w:t>
      </w:r>
      <w:r w:rsidR="00184B40" w:rsidRPr="00BB0A7A">
        <w:rPr>
          <w:lang w:val="es-ES_tradnl"/>
        </w:rPr>
        <w:t>haber tenido</w:t>
      </w:r>
      <w:r w:rsidRPr="00BB0A7A">
        <w:rPr>
          <w:lang w:val="es-ES_tradnl"/>
        </w:rPr>
        <w:t xml:space="preserve"> acceso a fuentes de financiación del sector privado en el </w:t>
      </w:r>
      <w:r w:rsidR="0071394B" w:rsidRPr="00BB0A7A">
        <w:rPr>
          <w:lang w:val="es-ES_tradnl"/>
        </w:rPr>
        <w:t>primer período de presentación de informes</w:t>
      </w:r>
      <w:r w:rsidR="00184B40" w:rsidRPr="00BB0A7A">
        <w:rPr>
          <w:lang w:val="es-ES_tradnl"/>
        </w:rPr>
        <w:t xml:space="preserve"> fue muy exiguo</w:t>
      </w:r>
      <w:r w:rsidRPr="00BB0A7A">
        <w:rPr>
          <w:lang w:val="es-ES_tradnl"/>
        </w:rPr>
        <w:t xml:space="preserve">, el modesto aumento registrado en el </w:t>
      </w:r>
      <w:r w:rsidR="0071394B" w:rsidRPr="00BB0A7A">
        <w:rPr>
          <w:lang w:val="es-ES_tradnl"/>
        </w:rPr>
        <w:t>segundo período de presentación de informes</w:t>
      </w:r>
      <w:r w:rsidRPr="00BB0A7A">
        <w:rPr>
          <w:lang w:val="es-ES_tradnl"/>
        </w:rPr>
        <w:t xml:space="preserve"> (un 10%) representa una duplicación de la cantidad total, gracias sobr</w:t>
      </w:r>
      <w:r w:rsidR="0095306B">
        <w:rPr>
          <w:lang w:val="es-ES_tradnl"/>
        </w:rPr>
        <w:t>e todo a los Estados de Europa O</w:t>
      </w:r>
      <w:r w:rsidRPr="00BB0A7A">
        <w:rPr>
          <w:lang w:val="es-ES_tradnl"/>
        </w:rPr>
        <w:t xml:space="preserve">ccidental y otros Estados. Según la encuesta, </w:t>
      </w:r>
      <w:r w:rsidR="00184B40" w:rsidRPr="00BB0A7A">
        <w:rPr>
          <w:lang w:val="es-ES_tradnl"/>
        </w:rPr>
        <w:t xml:space="preserve">la región de </w:t>
      </w:r>
      <w:r w:rsidRPr="00BB0A7A">
        <w:rPr>
          <w:lang w:val="es-ES_tradnl"/>
        </w:rPr>
        <w:t>América Latina y el Caribe ha tenido acceso a un número considerablemente mayor de fuen</w:t>
      </w:r>
      <w:r w:rsidR="00184B40" w:rsidRPr="00BB0A7A">
        <w:rPr>
          <w:lang w:val="es-ES_tradnl"/>
        </w:rPr>
        <w:t>tes de fina</w:t>
      </w:r>
      <w:r w:rsidR="00AE4525">
        <w:rPr>
          <w:lang w:val="es-ES_tradnl"/>
        </w:rPr>
        <w:t>nciación ajenas al Programa de Inicio R</w:t>
      </w:r>
      <w:r w:rsidR="00184B40" w:rsidRPr="00BB0A7A">
        <w:rPr>
          <w:lang w:val="es-ES_tradnl"/>
        </w:rPr>
        <w:t>ápido;</w:t>
      </w:r>
      <w:r w:rsidRPr="00BB0A7A">
        <w:rPr>
          <w:lang w:val="es-ES_tradnl"/>
        </w:rPr>
        <w:t xml:space="preserve"> la mitad de los informantes de la región </w:t>
      </w:r>
      <w:r w:rsidR="00184B40" w:rsidRPr="00BB0A7A">
        <w:rPr>
          <w:lang w:val="es-ES_tradnl"/>
        </w:rPr>
        <w:t>notifica un</w:t>
      </w:r>
      <w:r w:rsidRPr="00BB0A7A">
        <w:rPr>
          <w:lang w:val="es-ES_tradnl"/>
        </w:rPr>
        <w:t xml:space="preserve"> acceso a cuatro o cinco fuentes, mientras que a nivel mundial</w:t>
      </w:r>
      <w:r w:rsidR="00A04810" w:rsidRPr="00BB0A7A">
        <w:rPr>
          <w:lang w:val="es-ES_tradnl"/>
        </w:rPr>
        <w:t xml:space="preserve"> la proporción no pasa de un </w:t>
      </w:r>
      <w:r w:rsidR="00184B40" w:rsidRPr="00BB0A7A">
        <w:rPr>
          <w:lang w:val="es-ES_tradnl"/>
        </w:rPr>
        <w:t>tercio</w:t>
      </w:r>
      <w:r w:rsidRPr="00BB0A7A">
        <w:rPr>
          <w:lang w:val="es-ES_tradnl"/>
        </w:rPr>
        <w:t>.</w:t>
      </w:r>
    </w:p>
    <w:p w:rsidR="003A1947" w:rsidRPr="00BB0A7A" w:rsidRDefault="00A5109A"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En cambio, en el</w:t>
      </w:r>
      <w:r w:rsidR="003A1947" w:rsidRPr="00BB0A7A">
        <w:rPr>
          <w:lang w:val="es-ES_tradnl"/>
        </w:rPr>
        <w:t xml:space="preserve"> suministro de recursos financieros y técnicos (indicador 13)</w:t>
      </w:r>
      <w:r w:rsidRPr="00BB0A7A">
        <w:rPr>
          <w:lang w:val="es-ES_tradnl"/>
        </w:rPr>
        <w:t xml:space="preserve"> se registra un progreso mayor</w:t>
      </w:r>
      <w:r w:rsidR="003A1947" w:rsidRPr="00BB0A7A">
        <w:rPr>
          <w:lang w:val="es-ES_tradnl"/>
        </w:rPr>
        <w:t xml:space="preserve">: el 57% de los países </w:t>
      </w:r>
      <w:r w:rsidR="0071394B" w:rsidRPr="00BB0A7A">
        <w:rPr>
          <w:lang w:val="es-ES_tradnl"/>
        </w:rPr>
        <w:t>que reúnen las condiciones para recibir asistencia oficial para el desarrollo (AOD), con arreglo a la lista del Comité de Asistencia para el Desarrollo de la Organización de Cooperación y Desarrollo Económicos (OCDE)</w:t>
      </w:r>
      <w:r w:rsidR="00A4017B" w:rsidRPr="00BB0A7A">
        <w:rPr>
          <w:lang w:val="es-ES_tradnl"/>
        </w:rPr>
        <w:t>,</w:t>
      </w:r>
      <w:r w:rsidR="003A1947" w:rsidRPr="00BB0A7A">
        <w:rPr>
          <w:lang w:val="es-ES_tradnl"/>
        </w:rPr>
        <w:t xml:space="preserve"> comunican la prestación de asistencia bilateral financiera, frente al 34% en el </w:t>
      </w:r>
      <w:r w:rsidR="0071394B" w:rsidRPr="00BB0A7A">
        <w:rPr>
          <w:lang w:val="es-ES_tradnl"/>
        </w:rPr>
        <w:t xml:space="preserve">primer período de </w:t>
      </w:r>
      <w:r w:rsidR="0071394B" w:rsidRPr="0095306B">
        <w:rPr>
          <w:lang w:val="es-ES_tradnl"/>
        </w:rPr>
        <w:t>presentación de informes</w:t>
      </w:r>
      <w:r w:rsidR="003A1947" w:rsidRPr="0095306B">
        <w:rPr>
          <w:lang w:val="es-ES_tradnl"/>
        </w:rPr>
        <w:t>. En</w:t>
      </w:r>
      <w:r w:rsidR="003A1947" w:rsidRPr="00BB0A7A">
        <w:rPr>
          <w:lang w:val="es-ES_tradnl"/>
        </w:rPr>
        <w:t xml:space="preserve"> la prestación de asistenc</w:t>
      </w:r>
      <w:r w:rsidR="00184B40" w:rsidRPr="00BB0A7A">
        <w:rPr>
          <w:lang w:val="es-ES_tradnl"/>
        </w:rPr>
        <w:t>ia técnica también se observa</w:t>
      </w:r>
      <w:r w:rsidR="003A1947" w:rsidRPr="00BB0A7A">
        <w:rPr>
          <w:lang w:val="es-ES_tradnl"/>
        </w:rPr>
        <w:t xml:space="preserve"> un aumento parecido: del 57% de países </w:t>
      </w:r>
      <w:r w:rsidR="00A4017B" w:rsidRPr="00BB0A7A">
        <w:rPr>
          <w:lang w:val="es-ES_tradnl"/>
        </w:rPr>
        <w:t>que reúnen las condiciones para recibir AOD</w:t>
      </w:r>
      <w:r w:rsidR="0095306B">
        <w:rPr>
          <w:lang w:val="es-ES_tradnl"/>
        </w:rPr>
        <w:t xml:space="preserve"> </w:t>
      </w:r>
      <w:r w:rsidR="003A1947" w:rsidRPr="00BB0A7A">
        <w:rPr>
          <w:lang w:val="es-ES_tradnl"/>
        </w:rPr>
        <w:t xml:space="preserve">en el </w:t>
      </w:r>
      <w:r w:rsidR="0071394B" w:rsidRPr="00BB0A7A">
        <w:rPr>
          <w:lang w:val="es-ES_tradnl"/>
        </w:rPr>
        <w:t>primer período de presentación de informes</w:t>
      </w:r>
      <w:r w:rsidR="0095306B">
        <w:rPr>
          <w:lang w:val="es-ES_tradnl"/>
        </w:rPr>
        <w:t xml:space="preserve"> se pasa a un 80% en el </w:t>
      </w:r>
      <w:r w:rsidR="0071394B" w:rsidRPr="00BB0A7A">
        <w:rPr>
          <w:lang w:val="es-ES_tradnl"/>
        </w:rPr>
        <w:t>segundo período de presentación de informes</w:t>
      </w:r>
      <w:r w:rsidR="003A1947" w:rsidRPr="00BB0A7A">
        <w:rPr>
          <w:lang w:val="es-ES_tradnl"/>
        </w:rPr>
        <w:t>; este incremento queda corroborado por un aumento del</w:t>
      </w:r>
      <w:r w:rsidR="00184B40" w:rsidRPr="00BB0A7A">
        <w:rPr>
          <w:lang w:val="es-ES_tradnl"/>
        </w:rPr>
        <w:t xml:space="preserve"> 16% en el número de interesados</w:t>
      </w:r>
      <w:r w:rsidR="003A1947" w:rsidRPr="00BB0A7A">
        <w:rPr>
          <w:lang w:val="es-ES_tradnl"/>
        </w:rPr>
        <w:t xml:space="preserve"> que notifican </w:t>
      </w:r>
      <w:r w:rsidR="00184B40" w:rsidRPr="00BB0A7A">
        <w:rPr>
          <w:lang w:val="es-ES_tradnl"/>
        </w:rPr>
        <w:t xml:space="preserve">actividades de </w:t>
      </w:r>
      <w:r w:rsidR="003A1947" w:rsidRPr="00BB0A7A">
        <w:rPr>
          <w:lang w:val="es-ES_tradnl"/>
        </w:rPr>
        <w:t>cooperación regional en materia de creación de capacidad (indicador 15).</w:t>
      </w:r>
    </w:p>
    <w:p w:rsidR="00E71868" w:rsidRPr="00BB0A7A" w:rsidRDefault="0005314F"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El elemento básico X, que incluye el fortalecimiento institucional de los centros de toxicología, no está representado directamente por un indicador de progreso. Sin embargo, los datos de la OMS sobre esos centros revelan que muchos países siguen careciendo de capacidades indispensables </w:t>
      </w:r>
      <w:r w:rsidR="00184B40" w:rsidRPr="00BB0A7A">
        <w:rPr>
          <w:lang w:val="es-ES_tradnl"/>
        </w:rPr>
        <w:t xml:space="preserve">en lo que respecta a </w:t>
      </w:r>
      <w:r w:rsidRPr="00BB0A7A">
        <w:rPr>
          <w:lang w:val="es-ES_tradnl"/>
        </w:rPr>
        <w:t>los productos químicos enmarcados en el Reglamento Sanitario Internacional. La disposición de las capacidades necesarias varía entre las regiones de la OMS: la región de África solo posee, en promedio, el 29% de las capacidades necesarias para afrontar la cuestión de los productos químicos, fren</w:t>
      </w:r>
      <w:r w:rsidR="00A5109A" w:rsidRPr="00BB0A7A">
        <w:rPr>
          <w:lang w:val="es-ES_tradnl"/>
        </w:rPr>
        <w:t>te al 74% que se observa</w:t>
      </w:r>
      <w:r w:rsidRPr="00BB0A7A">
        <w:rPr>
          <w:lang w:val="es-ES_tradnl"/>
        </w:rPr>
        <w:t xml:space="preserve"> en la región de Europa. Las otras cuatro regiones tienen alrededor del 50% de las capacidades necesarias</w:t>
      </w:r>
      <w:r w:rsidR="00E4170C" w:rsidRPr="00BB0A7A">
        <w:rPr>
          <w:rStyle w:val="FootnoteReference"/>
          <w:lang w:val="es-ES_tradnl"/>
        </w:rPr>
        <w:footnoteReference w:id="3"/>
      </w:r>
      <w:r w:rsidRPr="00BB0A7A">
        <w:rPr>
          <w:lang w:val="es-ES_tradnl"/>
        </w:rPr>
        <w:t xml:space="preserve">. Además, </w:t>
      </w:r>
      <w:r w:rsidR="00A5109A" w:rsidRPr="00BB0A7A">
        <w:rPr>
          <w:lang w:val="es-ES_tradnl"/>
        </w:rPr>
        <w:t>en el</w:t>
      </w:r>
      <w:r w:rsidRPr="00BB0A7A">
        <w:rPr>
          <w:lang w:val="es-ES_tradnl"/>
        </w:rPr>
        <w:t xml:space="preserve"> directorio mundial de centros de toxicología </w:t>
      </w:r>
      <w:r w:rsidR="00A5109A" w:rsidRPr="00BB0A7A">
        <w:rPr>
          <w:lang w:val="es-ES_tradnl"/>
        </w:rPr>
        <w:t>elaborado por la OMS</w:t>
      </w:r>
      <w:r w:rsidRPr="00BB0A7A">
        <w:rPr>
          <w:lang w:val="es-ES_tradnl"/>
        </w:rPr>
        <w:t xml:space="preserve"> se constata qu</w:t>
      </w:r>
      <w:r w:rsidR="00A04810" w:rsidRPr="00BB0A7A">
        <w:rPr>
          <w:lang w:val="es-ES_tradnl"/>
        </w:rPr>
        <w:t>e muchos países, entre ellos la </w:t>
      </w:r>
      <w:r w:rsidRPr="00BB0A7A">
        <w:rPr>
          <w:lang w:val="es-ES_tradnl"/>
        </w:rPr>
        <w:t xml:space="preserve">mayoría de los países africanos, siguen sin disponer de un servicio </w:t>
      </w:r>
      <w:r w:rsidR="00A04810" w:rsidRPr="00BB0A7A">
        <w:rPr>
          <w:lang w:val="es-ES_tradnl"/>
        </w:rPr>
        <w:t>de información sobre sustancias </w:t>
      </w:r>
      <w:r w:rsidRPr="00BB0A7A">
        <w:rPr>
          <w:lang w:val="es-ES_tradnl"/>
        </w:rPr>
        <w:t>tóxicas.</w:t>
      </w:r>
    </w:p>
    <w:p w:rsidR="001153B6" w:rsidRDefault="00E71868" w:rsidP="0058788B">
      <w:pPr>
        <w:pStyle w:val="Normalnumber"/>
        <w:numPr>
          <w:ilvl w:val="0"/>
          <w:numId w:val="8"/>
        </w:numPr>
        <w:tabs>
          <w:tab w:val="clear" w:pos="567"/>
          <w:tab w:val="clear" w:pos="1247"/>
          <w:tab w:val="clear" w:pos="1814"/>
          <w:tab w:val="clear" w:pos="2381"/>
          <w:tab w:val="clear" w:pos="2948"/>
          <w:tab w:val="clear" w:pos="3515"/>
        </w:tabs>
        <w:spacing w:after="240"/>
        <w:rPr>
          <w:lang w:val="es-ES_tradnl"/>
        </w:rPr>
      </w:pPr>
      <w:r w:rsidRPr="00BB0A7A">
        <w:rPr>
          <w:lang w:val="es-ES_tradnl"/>
        </w:rPr>
        <w:t>El fortalecimiento institucional de los centros de toxicología es cada vez más importante en vista de la dismin</w:t>
      </w:r>
      <w:r w:rsidR="006427FB" w:rsidRPr="00BB0A7A">
        <w:rPr>
          <w:lang w:val="es-ES_tradnl"/>
        </w:rPr>
        <w:t>ución de su número</w:t>
      </w:r>
      <w:r w:rsidRPr="00BB0A7A">
        <w:rPr>
          <w:lang w:val="es-ES_tradnl"/>
        </w:rPr>
        <w:t xml:space="preserve"> (de 340 </w:t>
      </w:r>
      <w:r w:rsidR="006427FB" w:rsidRPr="00BB0A7A">
        <w:rPr>
          <w:lang w:val="es-ES_tradnl"/>
        </w:rPr>
        <w:t xml:space="preserve">centros </w:t>
      </w:r>
      <w:r w:rsidRPr="00BB0A7A">
        <w:rPr>
          <w:lang w:val="es-ES_tradnl"/>
        </w:rPr>
        <w:t xml:space="preserve">en el </w:t>
      </w:r>
      <w:r w:rsidR="00A4017B" w:rsidRPr="00BB0A7A">
        <w:rPr>
          <w:lang w:val="es-ES_tradnl"/>
        </w:rPr>
        <w:t>primer período de presentación de informes</w:t>
      </w:r>
      <w:r w:rsidRPr="00BB0A7A">
        <w:rPr>
          <w:lang w:val="es-ES_tradnl"/>
        </w:rPr>
        <w:t xml:space="preserve"> se ha pasado a 274 en el </w:t>
      </w:r>
      <w:r w:rsidR="00A4017B" w:rsidRPr="00BB0A7A">
        <w:rPr>
          <w:lang w:val="es-ES_tradnl"/>
        </w:rPr>
        <w:t>segundo período de presentación de informes</w:t>
      </w:r>
      <w:r w:rsidRPr="00BB0A7A">
        <w:rPr>
          <w:lang w:val="es-ES_tradnl"/>
        </w:rPr>
        <w:t xml:space="preserve">) y del porcentaje de países que cuentan con </w:t>
      </w:r>
      <w:r w:rsidR="006427FB" w:rsidRPr="00BB0A7A">
        <w:rPr>
          <w:lang w:val="es-ES_tradnl"/>
        </w:rPr>
        <w:t>ellos</w:t>
      </w:r>
      <w:r w:rsidRPr="00BB0A7A">
        <w:rPr>
          <w:lang w:val="es-ES_tradnl"/>
        </w:rPr>
        <w:t xml:space="preserve"> (46% en el </w:t>
      </w:r>
      <w:r w:rsidR="00A4017B" w:rsidRPr="00BB0A7A">
        <w:rPr>
          <w:lang w:val="es-ES_tradnl"/>
        </w:rPr>
        <w:t>primer período de presentación de informes</w:t>
      </w:r>
      <w:r w:rsidRPr="00BB0A7A">
        <w:rPr>
          <w:lang w:val="es-ES_tradnl"/>
        </w:rPr>
        <w:t xml:space="preserve"> frente al 44% en el </w:t>
      </w:r>
      <w:r w:rsidR="00A4017B" w:rsidRPr="00BB0A7A">
        <w:rPr>
          <w:lang w:val="es-ES_tradnl"/>
        </w:rPr>
        <w:t>segundo período de presentación de informes</w:t>
      </w:r>
      <w:r w:rsidRPr="00BB0A7A">
        <w:rPr>
          <w:lang w:val="es-ES_tradnl"/>
        </w:rPr>
        <w:t>)</w:t>
      </w:r>
      <w:r w:rsidRPr="00BB0A7A">
        <w:rPr>
          <w:rStyle w:val="FootnoteReference"/>
          <w:lang w:val="es-ES_tradnl"/>
        </w:rPr>
        <w:footnoteReference w:id="4"/>
      </w:r>
      <w:r w:rsidRPr="00BB0A7A">
        <w:rPr>
          <w:lang w:val="es-ES_tradnl"/>
        </w:rPr>
        <w:t xml:space="preserve">. Las oficinas de la OMS que </w:t>
      </w:r>
      <w:r w:rsidR="00A04810" w:rsidRPr="00BB0A7A">
        <w:rPr>
          <w:lang w:val="es-ES_tradnl"/>
        </w:rPr>
        <w:t>reúnen</w:t>
      </w:r>
      <w:r w:rsidRPr="00BB0A7A">
        <w:rPr>
          <w:lang w:val="es-ES_tradnl"/>
        </w:rPr>
        <w:t xml:space="preserve"> estos datos han adoptado recienteme</w:t>
      </w:r>
      <w:r w:rsidR="006427FB" w:rsidRPr="00BB0A7A">
        <w:rPr>
          <w:lang w:val="es-ES_tradnl"/>
        </w:rPr>
        <w:t>n</w:t>
      </w:r>
      <w:r w:rsidR="00F16BE5" w:rsidRPr="00BB0A7A">
        <w:rPr>
          <w:lang w:val="es-ES_tradnl"/>
        </w:rPr>
        <w:t>te un enfoque sistemático, por lo que</w:t>
      </w:r>
      <w:r w:rsidRPr="00BB0A7A">
        <w:rPr>
          <w:lang w:val="es-ES_tradnl"/>
        </w:rPr>
        <w:t xml:space="preserve"> cabe afirmar que la mejora del proceso de recopilación de datos es constante.</w:t>
      </w:r>
    </w:p>
    <w:tbl>
      <w:tblPr>
        <w:tblW w:w="0" w:type="auto"/>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7"/>
        <w:gridCol w:w="3649"/>
      </w:tblGrid>
      <w:tr w:rsidR="003A1947" w:rsidRPr="009337B3" w:rsidTr="00745DC4">
        <w:trPr>
          <w:tblHeader/>
        </w:trPr>
        <w:tc>
          <w:tcPr>
            <w:tcW w:w="2689" w:type="dxa"/>
            <w:tcBorders>
              <w:top w:val="single" w:sz="4" w:space="0" w:color="auto"/>
              <w:left w:val="nil"/>
              <w:bottom w:val="single" w:sz="12" w:space="0" w:color="auto"/>
              <w:right w:val="nil"/>
            </w:tcBorders>
            <w:shd w:val="clear" w:color="auto" w:fill="auto"/>
          </w:tcPr>
          <w:p w:rsidR="003A1947" w:rsidRPr="00BB0A7A" w:rsidRDefault="003A1947" w:rsidP="0058788B">
            <w:pPr>
              <w:spacing w:after="6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Elemento básico de la orientación y las directrices generales</w:t>
            </w:r>
          </w:p>
        </w:tc>
        <w:tc>
          <w:tcPr>
            <w:tcW w:w="2127" w:type="dxa"/>
            <w:tcBorders>
              <w:top w:val="single" w:sz="4" w:space="0" w:color="auto"/>
              <w:left w:val="nil"/>
              <w:bottom w:val="single" w:sz="12" w:space="0" w:color="auto"/>
              <w:right w:val="nil"/>
            </w:tcBorders>
            <w:shd w:val="clear" w:color="auto" w:fill="auto"/>
          </w:tcPr>
          <w:p w:rsidR="003A1947" w:rsidRPr="00BB0A7A" w:rsidRDefault="003A1947" w:rsidP="0058788B">
            <w:pPr>
              <w:spacing w:after="6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Indicadores de progresos y cuestiones pertinentes (objetivo D)</w:t>
            </w:r>
          </w:p>
        </w:tc>
        <w:tc>
          <w:tcPr>
            <w:tcW w:w="3649" w:type="dxa"/>
            <w:tcBorders>
              <w:top w:val="single" w:sz="4" w:space="0" w:color="auto"/>
              <w:left w:val="nil"/>
              <w:bottom w:val="single" w:sz="12" w:space="0" w:color="auto"/>
              <w:right w:val="nil"/>
            </w:tcBorders>
            <w:shd w:val="clear" w:color="auto" w:fill="auto"/>
          </w:tcPr>
          <w:p w:rsidR="003A1947" w:rsidRPr="00BB0A7A" w:rsidRDefault="00506779" w:rsidP="0058788B">
            <w:pPr>
              <w:spacing w:after="6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Progres</w:t>
            </w:r>
            <w:r w:rsidR="004942FE" w:rsidRPr="00BB0A7A">
              <w:rPr>
                <w:rFonts w:ascii="Times New Roman" w:hAnsi="Times New Roman"/>
                <w:i/>
                <w:sz w:val="18"/>
                <w:lang w:val="es-ES_tradnl"/>
              </w:rPr>
              <w:t>os logr</w:t>
            </w:r>
            <w:r w:rsidRPr="00BB0A7A">
              <w:rPr>
                <w:rFonts w:ascii="Times New Roman" w:hAnsi="Times New Roman"/>
                <w:i/>
                <w:sz w:val="18"/>
                <w:lang w:val="es-ES_tradnl"/>
              </w:rPr>
              <w:t>ados entre el primer y el segundo período de presentación de informes (incluidos los casos de éxito a nivel regional)</w:t>
            </w:r>
          </w:p>
        </w:tc>
      </w:tr>
      <w:tr w:rsidR="003A1947" w:rsidRPr="009337B3">
        <w:tc>
          <w:tcPr>
            <w:tcW w:w="2689" w:type="dxa"/>
            <w:tcBorders>
              <w:top w:val="single" w:sz="12" w:space="0" w:color="auto"/>
              <w:left w:val="nil"/>
              <w:bottom w:val="nil"/>
              <w:right w:val="nil"/>
            </w:tcBorders>
            <w:shd w:val="clear" w:color="auto" w:fill="auto"/>
          </w:tcPr>
          <w:p w:rsidR="003A1947" w:rsidRPr="00BB0A7A" w:rsidRDefault="00C25F30" w:rsidP="00745DC4">
            <w:pPr>
              <w:widowControl w:val="0"/>
              <w:spacing w:before="40" w:after="120" w:line="240" w:lineRule="auto"/>
              <w:rPr>
                <w:rFonts w:ascii="Times New Roman" w:hAnsi="Times New Roman" w:cs="Times New Roman"/>
                <w:sz w:val="18"/>
                <w:szCs w:val="18"/>
                <w:lang w:val="es-ES_tradnl"/>
              </w:rPr>
            </w:pPr>
            <w:r w:rsidRPr="00BB0A7A">
              <w:rPr>
                <w:rFonts w:ascii="Times New Roman" w:hAnsi="Times New Roman"/>
                <w:sz w:val="18"/>
                <w:lang w:val="es-ES_tradnl"/>
              </w:rPr>
              <w:t>VI</w:t>
            </w:r>
            <w:r w:rsidR="00A4017B" w:rsidRPr="00BB0A7A">
              <w:rPr>
                <w:rFonts w:ascii="Times New Roman" w:hAnsi="Times New Roman"/>
                <w:sz w:val="18"/>
                <w:lang w:val="es-ES_tradnl"/>
              </w:rPr>
              <w:t>.</w:t>
            </w:r>
            <w:r w:rsidRPr="00BB0A7A">
              <w:rPr>
                <w:rFonts w:ascii="Times New Roman" w:hAnsi="Times New Roman"/>
                <w:sz w:val="18"/>
                <w:lang w:val="es-ES_tradnl"/>
              </w:rPr>
              <w:t xml:space="preserve"> Participación y responsabilidad </w:t>
            </w:r>
            <w:r w:rsidR="00A4017B" w:rsidRPr="00BB0A7A">
              <w:rPr>
                <w:rFonts w:ascii="Times New Roman" w:hAnsi="Times New Roman"/>
                <w:sz w:val="18"/>
                <w:lang w:val="es-ES_tradnl"/>
              </w:rPr>
              <w:t xml:space="preserve">definida </w:t>
            </w:r>
            <w:r w:rsidRPr="00BB0A7A">
              <w:rPr>
                <w:rFonts w:ascii="Times New Roman" w:hAnsi="Times New Roman"/>
                <w:sz w:val="18"/>
                <w:lang w:val="es-ES_tradnl"/>
              </w:rPr>
              <w:t>del sector industrial en todo el ciclo de vida</w:t>
            </w:r>
            <w:r w:rsidR="00061A01" w:rsidRPr="00BB0A7A">
              <w:rPr>
                <w:rFonts w:ascii="Times New Roman" w:hAnsi="Times New Roman"/>
                <w:sz w:val="18"/>
                <w:lang w:val="es-ES_tradnl"/>
              </w:rPr>
              <w:t xml:space="preserve"> de los productos químicos</w:t>
            </w:r>
            <w:r w:rsidRPr="00BB0A7A">
              <w:rPr>
                <w:rFonts w:ascii="Times New Roman" w:hAnsi="Times New Roman"/>
                <w:sz w:val="18"/>
                <w:lang w:val="es-ES_tradnl"/>
              </w:rPr>
              <w:t>, en especial con políticas y sistemas de recuperación de costos y con la incorporación de la gestión racional de los productos químicos en las políticas y prácticas empresariales</w:t>
            </w:r>
          </w:p>
        </w:tc>
        <w:tc>
          <w:tcPr>
            <w:tcW w:w="2127" w:type="dxa"/>
            <w:tcBorders>
              <w:top w:val="single" w:sz="12" w:space="0" w:color="auto"/>
              <w:left w:val="nil"/>
              <w:bottom w:val="nil"/>
              <w:right w:val="nil"/>
            </w:tcBorders>
            <w:shd w:val="clear" w:color="auto" w:fill="auto"/>
          </w:tcPr>
          <w:p w:rsidR="003A1947" w:rsidRPr="00BB0A7A" w:rsidRDefault="003A1947" w:rsidP="00745DC4">
            <w:pPr>
              <w:widowControl w:val="0"/>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11, relativo a la participación de los interesados en los comités de coordinación</w:t>
            </w:r>
          </w:p>
          <w:p w:rsidR="003A1947" w:rsidRPr="00BB0A7A" w:rsidRDefault="003A1947" w:rsidP="00745DC4">
            <w:pPr>
              <w:widowControl w:val="0"/>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18, pregunta sobre el acceso a la financiación del sector privado</w:t>
            </w:r>
          </w:p>
        </w:tc>
        <w:tc>
          <w:tcPr>
            <w:tcW w:w="3649" w:type="dxa"/>
            <w:tcBorders>
              <w:top w:val="single" w:sz="12" w:space="0" w:color="auto"/>
              <w:left w:val="nil"/>
              <w:bottom w:val="nil"/>
              <w:right w:val="nil"/>
            </w:tcBorders>
            <w:shd w:val="clear" w:color="auto" w:fill="auto"/>
          </w:tcPr>
          <w:p w:rsidR="003A1947" w:rsidRPr="00BB0A7A" w:rsidRDefault="003A1947" w:rsidP="00745DC4">
            <w:pPr>
              <w:widowControl w:val="0"/>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 xml:space="preserve">Indicador 11: Aumento del 5% en </w:t>
            </w:r>
            <w:r w:rsidR="00C90842" w:rsidRPr="00BB0A7A">
              <w:rPr>
                <w:rFonts w:ascii="Times New Roman" w:hAnsi="Times New Roman"/>
                <w:sz w:val="18"/>
                <w:lang w:val="es-ES_tradnl"/>
              </w:rPr>
              <w:t>el número</w:t>
            </w:r>
            <w:r w:rsidR="00061A01" w:rsidRPr="00BB0A7A">
              <w:rPr>
                <w:rFonts w:ascii="Times New Roman" w:hAnsi="Times New Roman"/>
                <w:sz w:val="18"/>
                <w:lang w:val="es-ES_tradnl"/>
              </w:rPr>
              <w:t xml:space="preserve"> de</w:t>
            </w:r>
            <w:r w:rsidRPr="00BB0A7A">
              <w:rPr>
                <w:rFonts w:ascii="Times New Roman" w:hAnsi="Times New Roman"/>
                <w:sz w:val="18"/>
                <w:lang w:val="es-ES_tradnl"/>
              </w:rPr>
              <w:t xml:space="preserve"> comités de coordinación de múltiples interesados que cuentan con representantes de la industria (para llegar a un 72%). El 90% de los gobierno</w:t>
            </w:r>
            <w:r w:rsidR="00061A01" w:rsidRPr="00BB0A7A">
              <w:rPr>
                <w:rFonts w:ascii="Times New Roman" w:hAnsi="Times New Roman"/>
                <w:sz w:val="18"/>
                <w:lang w:val="es-ES_tradnl"/>
              </w:rPr>
              <w:t>s africanos informantes comunica la</w:t>
            </w:r>
            <w:r w:rsidRPr="00BB0A7A">
              <w:rPr>
                <w:rFonts w:ascii="Times New Roman" w:hAnsi="Times New Roman"/>
                <w:sz w:val="18"/>
                <w:lang w:val="es-ES_tradnl"/>
              </w:rPr>
              <w:t xml:space="preserve"> participación de la industria</w:t>
            </w:r>
          </w:p>
          <w:p w:rsidR="003A1947" w:rsidRPr="00BB0A7A" w:rsidRDefault="00061A01" w:rsidP="00745DC4">
            <w:pPr>
              <w:widowControl w:val="0"/>
              <w:spacing w:before="40" w:after="24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18: Aumento del 10</w:t>
            </w:r>
            <w:r w:rsidR="003A1947" w:rsidRPr="00BB0A7A">
              <w:rPr>
                <w:rFonts w:ascii="Times New Roman" w:hAnsi="Times New Roman"/>
                <w:sz w:val="18"/>
                <w:lang w:val="es-ES_tradnl"/>
              </w:rPr>
              <w:t>% en</w:t>
            </w:r>
            <w:r w:rsidR="00C90842" w:rsidRPr="00BB0A7A">
              <w:rPr>
                <w:rFonts w:ascii="Times New Roman" w:hAnsi="Times New Roman"/>
                <w:sz w:val="18"/>
                <w:lang w:val="es-ES_tradnl"/>
              </w:rPr>
              <w:t xml:space="preserve"> el número</w:t>
            </w:r>
            <w:r w:rsidRPr="00BB0A7A">
              <w:rPr>
                <w:rFonts w:ascii="Times New Roman" w:hAnsi="Times New Roman"/>
                <w:sz w:val="18"/>
                <w:lang w:val="es-ES_tradnl"/>
              </w:rPr>
              <w:t xml:space="preserve"> de</w:t>
            </w:r>
            <w:r w:rsidR="003A1947" w:rsidRPr="00BB0A7A">
              <w:rPr>
                <w:rFonts w:ascii="Times New Roman" w:hAnsi="Times New Roman"/>
                <w:sz w:val="18"/>
                <w:lang w:val="es-ES_tradnl"/>
              </w:rPr>
              <w:t xml:space="preserve"> informantes que han tenido acceso a financiación del sector privado, el doble de la tasa del PR1, gracias sobr</w:t>
            </w:r>
            <w:r w:rsidR="00B20136">
              <w:rPr>
                <w:rFonts w:ascii="Times New Roman" w:hAnsi="Times New Roman"/>
                <w:sz w:val="18"/>
                <w:lang w:val="es-ES_tradnl"/>
              </w:rPr>
              <w:t>e todo a los Estados de Europa O</w:t>
            </w:r>
            <w:r w:rsidR="003A1947" w:rsidRPr="00BB0A7A">
              <w:rPr>
                <w:rFonts w:ascii="Times New Roman" w:hAnsi="Times New Roman"/>
                <w:sz w:val="18"/>
                <w:lang w:val="es-ES_tradnl"/>
              </w:rPr>
              <w:t>ccidental y otros Estados y a Europa Central y Oriental</w:t>
            </w:r>
          </w:p>
        </w:tc>
      </w:tr>
      <w:tr w:rsidR="003A1947" w:rsidRPr="009337B3">
        <w:tc>
          <w:tcPr>
            <w:tcW w:w="2689" w:type="dxa"/>
            <w:tcBorders>
              <w:top w:val="nil"/>
              <w:left w:val="nil"/>
              <w:bottom w:val="nil"/>
              <w:right w:val="nil"/>
            </w:tcBorders>
            <w:shd w:val="clear" w:color="auto" w:fill="auto"/>
          </w:tcPr>
          <w:p w:rsidR="003A1947" w:rsidRPr="00BB0A7A" w:rsidRDefault="00C25F30" w:rsidP="00745DC4">
            <w:pPr>
              <w:widowControl w:val="0"/>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VII</w:t>
            </w:r>
            <w:r w:rsidR="004D51AC" w:rsidRPr="00BB0A7A">
              <w:rPr>
                <w:rFonts w:ascii="Times New Roman" w:hAnsi="Times New Roman"/>
                <w:sz w:val="18"/>
                <w:lang w:val="es-ES_tradnl"/>
              </w:rPr>
              <w:t>.</w:t>
            </w:r>
            <w:r w:rsidRPr="00BB0A7A">
              <w:rPr>
                <w:rFonts w:ascii="Times New Roman" w:hAnsi="Times New Roman"/>
                <w:sz w:val="18"/>
                <w:lang w:val="es-ES_tradnl"/>
              </w:rPr>
              <w:t xml:space="preserve"> Inclusión de </w:t>
            </w:r>
            <w:r w:rsidR="00A4017B" w:rsidRPr="00BB0A7A">
              <w:rPr>
                <w:rFonts w:ascii="Times New Roman" w:hAnsi="Times New Roman"/>
                <w:sz w:val="18"/>
                <w:lang w:val="es-ES_tradnl"/>
              </w:rPr>
              <w:t xml:space="preserve">la gestión racional de </w:t>
            </w:r>
            <w:r w:rsidRPr="00BB0A7A">
              <w:rPr>
                <w:rFonts w:ascii="Times New Roman" w:hAnsi="Times New Roman"/>
                <w:sz w:val="18"/>
                <w:lang w:val="es-ES_tradnl"/>
              </w:rPr>
              <w:t>los productos químicos y los desechos en los procesos presupuestarios y planes de desarrollo sanitario, laboral</w:t>
            </w:r>
            <w:r w:rsidR="0095306B">
              <w:rPr>
                <w:rFonts w:ascii="Times New Roman" w:hAnsi="Times New Roman"/>
                <w:sz w:val="18"/>
                <w:lang w:val="es-ES_tradnl"/>
              </w:rPr>
              <w:t>, social, ambiental y económico</w:t>
            </w:r>
          </w:p>
        </w:tc>
        <w:tc>
          <w:tcPr>
            <w:tcW w:w="2127" w:type="dxa"/>
            <w:tcBorders>
              <w:top w:val="nil"/>
              <w:left w:val="nil"/>
              <w:bottom w:val="nil"/>
              <w:right w:val="nil"/>
            </w:tcBorders>
            <w:shd w:val="clear" w:color="auto" w:fill="auto"/>
          </w:tcPr>
          <w:p w:rsidR="003A1947" w:rsidRPr="00BB0A7A" w:rsidRDefault="003A1947" w:rsidP="00745DC4">
            <w:pPr>
              <w:widowControl w:val="0"/>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16, rela</w:t>
            </w:r>
            <w:r w:rsidR="00311A63" w:rsidRPr="00BB0A7A">
              <w:rPr>
                <w:rFonts w:ascii="Times New Roman" w:hAnsi="Times New Roman"/>
                <w:sz w:val="18"/>
                <w:lang w:val="es-ES_tradnl"/>
              </w:rPr>
              <w:t>tivo a los planes nacionales de </w:t>
            </w:r>
            <w:r w:rsidRPr="00BB0A7A">
              <w:rPr>
                <w:rFonts w:ascii="Times New Roman" w:hAnsi="Times New Roman"/>
                <w:sz w:val="18"/>
                <w:lang w:val="es-ES_tradnl"/>
              </w:rPr>
              <w:t>desarrollo</w:t>
            </w:r>
          </w:p>
        </w:tc>
        <w:tc>
          <w:tcPr>
            <w:tcW w:w="3649" w:type="dxa"/>
            <w:tcBorders>
              <w:top w:val="nil"/>
              <w:left w:val="nil"/>
              <w:bottom w:val="nil"/>
              <w:right w:val="nil"/>
            </w:tcBorders>
            <w:shd w:val="clear" w:color="auto" w:fill="auto"/>
          </w:tcPr>
          <w:p w:rsidR="003A1947" w:rsidRPr="00BB0A7A" w:rsidRDefault="003A1947" w:rsidP="00745DC4">
            <w:pPr>
              <w:widowControl w:val="0"/>
              <w:spacing w:before="40"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 xml:space="preserve">Aumento del </w:t>
            </w:r>
            <w:r w:rsidR="00061A01" w:rsidRPr="00BB0A7A">
              <w:rPr>
                <w:rFonts w:ascii="Times New Roman" w:hAnsi="Times New Roman"/>
                <w:sz w:val="18"/>
                <w:lang w:val="es-ES_tradnl"/>
              </w:rPr>
              <w:t>8% desde el PR1 en el porcentaje</w:t>
            </w:r>
            <w:r w:rsidR="00556B88" w:rsidRPr="00BB0A7A">
              <w:rPr>
                <w:rFonts w:ascii="Times New Roman" w:hAnsi="Times New Roman"/>
                <w:sz w:val="18"/>
                <w:lang w:val="es-ES_tradnl"/>
              </w:rPr>
              <w:t xml:space="preserve"> de interesados no donantes en </w:t>
            </w:r>
            <w:r w:rsidRPr="00BB0A7A">
              <w:rPr>
                <w:rFonts w:ascii="Times New Roman" w:hAnsi="Times New Roman"/>
                <w:sz w:val="18"/>
                <w:lang w:val="es-ES_tradnl"/>
              </w:rPr>
              <w:t>cuyos planes n</w:t>
            </w:r>
            <w:r w:rsidR="00556B88" w:rsidRPr="00BB0A7A">
              <w:rPr>
                <w:rFonts w:ascii="Times New Roman" w:hAnsi="Times New Roman"/>
                <w:sz w:val="18"/>
                <w:lang w:val="es-ES_tradnl"/>
              </w:rPr>
              <w:t>acionales de desarrollo se trata</w:t>
            </w:r>
            <w:r w:rsidRPr="00BB0A7A">
              <w:rPr>
                <w:rFonts w:ascii="Times New Roman" w:hAnsi="Times New Roman"/>
                <w:sz w:val="18"/>
                <w:lang w:val="es-ES_tradnl"/>
              </w:rPr>
              <w:t xml:space="preserve"> la cuestión de los productos qu</w:t>
            </w:r>
            <w:r w:rsidR="00311A63" w:rsidRPr="00BB0A7A">
              <w:rPr>
                <w:rFonts w:ascii="Times New Roman" w:hAnsi="Times New Roman"/>
                <w:sz w:val="18"/>
                <w:lang w:val="es-ES_tradnl"/>
              </w:rPr>
              <w:t>ímicos (hasta un porcentaje del </w:t>
            </w:r>
            <w:r w:rsidRPr="00BB0A7A">
              <w:rPr>
                <w:rFonts w:ascii="Times New Roman" w:hAnsi="Times New Roman"/>
                <w:sz w:val="18"/>
                <w:lang w:val="es-ES_tradnl"/>
              </w:rPr>
              <w:t>53%)</w:t>
            </w:r>
          </w:p>
        </w:tc>
      </w:tr>
      <w:tr w:rsidR="003A1947" w:rsidRPr="009337B3">
        <w:tc>
          <w:tcPr>
            <w:tcW w:w="2689" w:type="dxa"/>
            <w:tcBorders>
              <w:top w:val="nil"/>
              <w:left w:val="nil"/>
              <w:bottom w:val="single" w:sz="12" w:space="0" w:color="auto"/>
              <w:right w:val="nil"/>
            </w:tcBorders>
            <w:shd w:val="clear" w:color="auto" w:fill="auto"/>
          </w:tcPr>
          <w:p w:rsidR="003A1947" w:rsidRPr="00BB0A7A" w:rsidRDefault="00C25F30" w:rsidP="00745DC4">
            <w:pPr>
              <w:widowControl w:val="0"/>
              <w:spacing w:before="40" w:afterLines="60" w:after="144" w:line="240" w:lineRule="auto"/>
              <w:rPr>
                <w:rFonts w:ascii="Times New Roman" w:hAnsi="Times New Roman" w:cs="Times New Roman"/>
                <w:sz w:val="18"/>
                <w:szCs w:val="18"/>
                <w:lang w:val="es-ES_tradnl"/>
              </w:rPr>
            </w:pPr>
            <w:r w:rsidRPr="00BB0A7A">
              <w:rPr>
                <w:rFonts w:ascii="Times New Roman" w:hAnsi="Times New Roman"/>
                <w:sz w:val="18"/>
                <w:lang w:val="es-ES_tradnl"/>
              </w:rPr>
              <w:t>IX</w:t>
            </w:r>
            <w:r w:rsidR="004D51AC" w:rsidRPr="00BB0A7A">
              <w:rPr>
                <w:rFonts w:ascii="Times New Roman" w:hAnsi="Times New Roman"/>
                <w:sz w:val="18"/>
                <w:lang w:val="es-ES_tradnl"/>
              </w:rPr>
              <w:t>.</w:t>
            </w:r>
            <w:r w:rsidRPr="00BB0A7A">
              <w:rPr>
                <w:rFonts w:ascii="Times New Roman" w:hAnsi="Times New Roman"/>
                <w:sz w:val="18"/>
                <w:lang w:val="es-ES_tradnl"/>
              </w:rPr>
              <w:t xml:space="preserve"> Fortalecimiento de la capacidad para afron</w:t>
            </w:r>
            <w:r w:rsidR="00061A01" w:rsidRPr="00BB0A7A">
              <w:rPr>
                <w:rFonts w:ascii="Times New Roman" w:hAnsi="Times New Roman"/>
                <w:sz w:val="18"/>
                <w:lang w:val="es-ES_tradnl"/>
              </w:rPr>
              <w:t xml:space="preserve">tar los accidentes químicos, </w:t>
            </w:r>
            <w:r w:rsidRPr="00BB0A7A">
              <w:rPr>
                <w:rFonts w:ascii="Times New Roman" w:hAnsi="Times New Roman"/>
                <w:sz w:val="18"/>
                <w:lang w:val="es-ES_tradnl"/>
              </w:rPr>
              <w:t>incluido el fortalecimiento institucional de los centros de toxicología</w:t>
            </w:r>
          </w:p>
        </w:tc>
        <w:tc>
          <w:tcPr>
            <w:tcW w:w="5776" w:type="dxa"/>
            <w:gridSpan w:val="2"/>
            <w:tcBorders>
              <w:top w:val="nil"/>
              <w:left w:val="nil"/>
              <w:bottom w:val="single" w:sz="12" w:space="0" w:color="auto"/>
              <w:right w:val="nil"/>
            </w:tcBorders>
            <w:shd w:val="clear" w:color="auto" w:fill="auto"/>
          </w:tcPr>
          <w:p w:rsidR="003A1947" w:rsidRPr="00BB0A7A" w:rsidRDefault="00061A01" w:rsidP="00745DC4">
            <w:pPr>
              <w:pStyle w:val="Default"/>
              <w:widowControl w:val="0"/>
              <w:spacing w:before="40" w:afterLines="60" w:after="144"/>
              <w:rPr>
                <w:sz w:val="18"/>
                <w:szCs w:val="18"/>
                <w:lang w:val="es-ES_tradnl"/>
              </w:rPr>
            </w:pPr>
            <w:r w:rsidRPr="00BB0A7A">
              <w:rPr>
                <w:sz w:val="18"/>
                <w:lang w:val="es-ES_tradnl"/>
              </w:rPr>
              <w:t xml:space="preserve">No representado </w:t>
            </w:r>
            <w:r w:rsidR="003A1947" w:rsidRPr="00BB0A7A">
              <w:rPr>
                <w:sz w:val="18"/>
                <w:lang w:val="es-ES_tradnl"/>
              </w:rPr>
              <w:t>por ningún indicador de progreso. Sin embargo, los datos de la OMS expuestos en los párrafos 16 y 17 y en el gráfico V revelan que muchos países siguen careciendo de las capacidades indispensables en relación con los productos químicos enmarcados en el Reg</w:t>
            </w:r>
            <w:r w:rsidR="00311A63" w:rsidRPr="00BB0A7A">
              <w:rPr>
                <w:sz w:val="18"/>
                <w:lang w:val="es-ES_tradnl"/>
              </w:rPr>
              <w:t>lamento Sanitario Internacional</w:t>
            </w:r>
          </w:p>
          <w:p w:rsidR="003A1947" w:rsidRPr="00BB0A7A" w:rsidRDefault="003A1947" w:rsidP="00745DC4">
            <w:pPr>
              <w:widowControl w:val="0"/>
              <w:spacing w:before="40" w:afterLines="60" w:after="144" w:line="240" w:lineRule="auto"/>
              <w:rPr>
                <w:rFonts w:ascii="Times New Roman" w:eastAsia="SimSun" w:hAnsi="Times New Roman" w:cs="Times New Roman"/>
                <w:sz w:val="18"/>
                <w:szCs w:val="18"/>
                <w:lang w:val="es-ES_tradnl"/>
              </w:rPr>
            </w:pPr>
            <w:r w:rsidRPr="00BB0A7A">
              <w:rPr>
                <w:rFonts w:ascii="Times New Roman" w:eastAsia="SimSun" w:hAnsi="Times New Roman" w:cs="Times New Roman"/>
                <w:sz w:val="18"/>
                <w:szCs w:val="18"/>
                <w:lang w:val="es-ES_tradnl"/>
              </w:rPr>
              <w:t xml:space="preserve"> </w:t>
            </w:r>
          </w:p>
        </w:tc>
      </w:tr>
    </w:tbl>
    <w:p w:rsidR="00A4017B" w:rsidRPr="00BB0A7A" w:rsidRDefault="00A4017B" w:rsidP="0058788B">
      <w:pPr>
        <w:pStyle w:val="Titletable"/>
        <w:keepNext w:val="0"/>
        <w:keepLines w:val="0"/>
        <w:widowControl w:val="0"/>
        <w:spacing w:before="40" w:after="120"/>
        <w:rPr>
          <w:b w:val="0"/>
          <w:sz w:val="18"/>
          <w:szCs w:val="18"/>
          <w:lang w:val="es-ES_tradnl"/>
        </w:rPr>
      </w:pPr>
      <w:r w:rsidRPr="00BB0A7A">
        <w:rPr>
          <w:b w:val="0"/>
          <w:i/>
          <w:sz w:val="18"/>
          <w:szCs w:val="18"/>
          <w:lang w:val="es-ES_tradnl"/>
        </w:rPr>
        <w:t xml:space="preserve">Abreviaturas: </w:t>
      </w:r>
      <w:r w:rsidRPr="00BB0A7A">
        <w:rPr>
          <w:b w:val="0"/>
          <w:sz w:val="18"/>
          <w:szCs w:val="18"/>
          <w:lang w:val="es-ES_tradnl"/>
        </w:rPr>
        <w:t>PR1, primer período de presentación de informes; PR2, segundo período de presentación de</w:t>
      </w:r>
      <w:r w:rsidR="005A2D94" w:rsidRPr="00BB0A7A">
        <w:rPr>
          <w:b w:val="0"/>
          <w:sz w:val="18"/>
          <w:szCs w:val="18"/>
          <w:lang w:val="es-ES_tradnl"/>
        </w:rPr>
        <w:t> </w:t>
      </w:r>
      <w:r w:rsidRPr="00BB0A7A">
        <w:rPr>
          <w:b w:val="0"/>
          <w:sz w:val="18"/>
          <w:szCs w:val="18"/>
          <w:lang w:val="es-ES_tradnl"/>
        </w:rPr>
        <w:t>informes</w:t>
      </w:r>
      <w:r w:rsidR="005A2D94" w:rsidRPr="00BB0A7A">
        <w:rPr>
          <w:b w:val="0"/>
          <w:sz w:val="18"/>
          <w:szCs w:val="18"/>
          <w:lang w:val="es-ES_tradnl"/>
        </w:rPr>
        <w:t>.</w:t>
      </w:r>
    </w:p>
    <w:p w:rsidR="002A7F8A" w:rsidRPr="00BB0A7A" w:rsidRDefault="00115B18" w:rsidP="0058788B">
      <w:pPr>
        <w:pStyle w:val="Titletable"/>
        <w:keepNext w:val="0"/>
        <w:keepLines w:val="0"/>
        <w:widowControl w:val="0"/>
        <w:spacing w:before="240" w:after="0"/>
        <w:rPr>
          <w:rFonts w:eastAsia="SimSun"/>
          <w:b w:val="0"/>
          <w:noProof/>
          <w:lang w:val="es-ES_tradnl"/>
        </w:rPr>
      </w:pPr>
      <w:r w:rsidRPr="00BB0A7A">
        <w:rPr>
          <w:b w:val="0"/>
          <w:lang w:val="es-ES_tradnl"/>
        </w:rPr>
        <w:t>Gráfico V</w:t>
      </w:r>
    </w:p>
    <w:p w:rsidR="00D70ED7" w:rsidRDefault="003A1947" w:rsidP="0058788B">
      <w:pPr>
        <w:pStyle w:val="Titletable"/>
        <w:keepNext w:val="0"/>
        <w:keepLines w:val="0"/>
        <w:widowControl w:val="0"/>
        <w:spacing w:after="240"/>
        <w:rPr>
          <w:lang w:val="es-ES_tradnl"/>
        </w:rPr>
      </w:pPr>
      <w:r w:rsidRPr="00BB0A7A">
        <w:rPr>
          <w:lang w:val="es-ES_tradnl"/>
        </w:rPr>
        <w:t>Incremento del porcentaje de interesados que seleccionan opciones relativas a los indicadores del objetivo D (</w:t>
      </w:r>
      <w:r w:rsidR="00A4017B" w:rsidRPr="00BB0A7A">
        <w:rPr>
          <w:lang w:val="es-ES_tradnl"/>
        </w:rPr>
        <w:t>Comparación entre el segundo y el primer período de presentación de informes</w:t>
      </w:r>
      <w:r w:rsidRPr="00BB0A7A">
        <w:rPr>
          <w:lang w:val="es-ES_tradnl"/>
        </w:rPr>
        <w:t>)</w:t>
      </w:r>
    </w:p>
    <w:p w:rsidR="003A1947" w:rsidRPr="00BB0A7A" w:rsidRDefault="00D70ED7" w:rsidP="0058788B">
      <w:pPr>
        <w:pStyle w:val="Titletable"/>
        <w:keepNext w:val="0"/>
        <w:keepLines w:val="0"/>
        <w:widowControl w:val="0"/>
        <w:spacing w:after="240"/>
        <w:rPr>
          <w:rFonts w:eastAsia="SimSun"/>
          <w:noProof/>
          <w:lang w:val="es-ES_tradnl"/>
        </w:rPr>
      </w:pPr>
      <w:r>
        <w:rPr>
          <w:noProof/>
          <w:color w:val="808080"/>
          <w:lang w:val="en-US"/>
        </w:rPr>
        <w:drawing>
          <wp:inline distT="0" distB="0" distL="0" distR="0" wp14:anchorId="772D88B4" wp14:editId="28E25455">
            <wp:extent cx="4776717" cy="2606046"/>
            <wp:effectExtent l="0" t="0" r="508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6955" cy="2611632"/>
                    </a:xfrm>
                    <a:prstGeom prst="rect">
                      <a:avLst/>
                    </a:prstGeom>
                    <a:noFill/>
                    <a:ln>
                      <a:noFill/>
                    </a:ln>
                  </pic:spPr>
                </pic:pic>
              </a:graphicData>
            </a:graphic>
          </wp:inline>
        </w:drawing>
      </w:r>
    </w:p>
    <w:p w:rsidR="0043196E" w:rsidRPr="00BB0A7A" w:rsidRDefault="003223B5" w:rsidP="00115B18">
      <w:pPr>
        <w:pStyle w:val="Normalnumber"/>
        <w:numPr>
          <w:ilvl w:val="0"/>
          <w:numId w:val="0"/>
        </w:numPr>
        <w:ind w:left="1247"/>
        <w:rPr>
          <w:lang w:val="es-ES_tradnl"/>
        </w:rPr>
      </w:pPr>
      <w:r>
        <w:rPr>
          <w:noProof/>
          <w:lang w:val="en-US"/>
        </w:rPr>
        <w:drawing>
          <wp:inline distT="0" distB="0" distL="0" distR="0" wp14:anchorId="0DCA0CC9" wp14:editId="1B592E93">
            <wp:extent cx="4730750" cy="2989284"/>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38231" cy="2994011"/>
                    </a:xfrm>
                    <a:prstGeom prst="rect">
                      <a:avLst/>
                    </a:prstGeom>
                    <a:noFill/>
                    <a:ln>
                      <a:noFill/>
                    </a:ln>
                  </pic:spPr>
                </pic:pic>
              </a:graphicData>
            </a:graphic>
          </wp:inline>
        </w:drawing>
      </w:r>
    </w:p>
    <w:p w:rsidR="00311A63" w:rsidRPr="00BB0A7A" w:rsidRDefault="00F901BF" w:rsidP="00732102">
      <w:pPr>
        <w:pStyle w:val="Normalnumber"/>
        <w:numPr>
          <w:ilvl w:val="0"/>
          <w:numId w:val="0"/>
        </w:numPr>
        <w:ind w:left="1247"/>
        <w:rPr>
          <w:lang w:val="es-ES_tradnl"/>
        </w:rPr>
      </w:pPr>
      <w:r>
        <w:rPr>
          <w:noProof/>
          <w:lang w:val="en-US"/>
        </w:rPr>
        <w:drawing>
          <wp:inline distT="0" distB="0" distL="0" distR="0" wp14:anchorId="475C6FAE" wp14:editId="40353B7B">
            <wp:extent cx="5120855" cy="236264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26474" cy="2365233"/>
                    </a:xfrm>
                    <a:prstGeom prst="rect">
                      <a:avLst/>
                    </a:prstGeom>
                    <a:noFill/>
                    <a:ln>
                      <a:noFill/>
                    </a:ln>
                  </pic:spPr>
                </pic:pic>
              </a:graphicData>
            </a:graphic>
          </wp:inline>
        </w:drawing>
      </w:r>
      <w:r w:rsidR="006E2B6D" w:rsidRPr="00BB0A7A">
        <w:rPr>
          <w:lang w:val="es-ES_tradnl"/>
        </w:rPr>
        <w:t xml:space="preserve"> </w:t>
      </w:r>
    </w:p>
    <w:p w:rsidR="003A1947" w:rsidRPr="008F4A74" w:rsidRDefault="00A4017B" w:rsidP="008B39AE">
      <w:pPr>
        <w:pStyle w:val="Normalnumber"/>
        <w:numPr>
          <w:ilvl w:val="0"/>
          <w:numId w:val="0"/>
        </w:numPr>
        <w:tabs>
          <w:tab w:val="clear" w:pos="1247"/>
          <w:tab w:val="clear" w:pos="1814"/>
          <w:tab w:val="clear" w:pos="2381"/>
          <w:tab w:val="clear" w:pos="2948"/>
          <w:tab w:val="clear" w:pos="3515"/>
        </w:tabs>
        <w:ind w:left="1247" w:right="284" w:hanging="623"/>
        <w:rPr>
          <w:b/>
          <w:sz w:val="24"/>
          <w:szCs w:val="24"/>
          <w:lang w:val="es-ES_tradnl"/>
        </w:rPr>
      </w:pPr>
      <w:r w:rsidRPr="008F4A74">
        <w:rPr>
          <w:b/>
          <w:sz w:val="24"/>
          <w:szCs w:val="24"/>
          <w:lang w:val="es-ES_tradnl"/>
        </w:rPr>
        <w:t>E</w:t>
      </w:r>
      <w:r w:rsidR="006E2B6D" w:rsidRPr="008F4A74">
        <w:rPr>
          <w:b/>
          <w:sz w:val="24"/>
          <w:szCs w:val="24"/>
          <w:lang w:val="es-ES_tradnl"/>
        </w:rPr>
        <w:t>.</w:t>
      </w:r>
      <w:r w:rsidR="008B39AE" w:rsidRPr="008F4A74">
        <w:rPr>
          <w:b/>
          <w:sz w:val="24"/>
          <w:szCs w:val="24"/>
          <w:lang w:val="es-ES_tradnl"/>
        </w:rPr>
        <w:tab/>
      </w:r>
      <w:r w:rsidR="006E2B6D" w:rsidRPr="008F4A74">
        <w:rPr>
          <w:b/>
          <w:sz w:val="24"/>
          <w:szCs w:val="24"/>
          <w:lang w:val="es-ES_tradnl"/>
        </w:rPr>
        <w:t>Objetivo E: Tráfico internacional ilícito</w:t>
      </w:r>
    </w:p>
    <w:p w:rsidR="003A1947" w:rsidRPr="00BB0A7A" w:rsidRDefault="003A1947"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Las conclusiones del indicador 3, relativo a la gestión de los desechos peligrosos, quedan confirmadas por el </w:t>
      </w:r>
      <w:r w:rsidR="00321FC6" w:rsidRPr="00BB0A7A">
        <w:rPr>
          <w:lang w:val="es-ES_tradnl"/>
        </w:rPr>
        <w:t>aumento de hasta un 20% en los progresos</w:t>
      </w:r>
      <w:r w:rsidRPr="00BB0A7A">
        <w:rPr>
          <w:lang w:val="es-ES_tradnl"/>
        </w:rPr>
        <w:t xml:space="preserve"> </w:t>
      </w:r>
      <w:r w:rsidR="00321FC6" w:rsidRPr="00BB0A7A">
        <w:rPr>
          <w:lang w:val="es-ES_tradnl"/>
        </w:rPr>
        <w:t xml:space="preserve">registrados desde el </w:t>
      </w:r>
      <w:r w:rsidR="00A4017B" w:rsidRPr="00BB0A7A">
        <w:rPr>
          <w:lang w:val="es-ES_tradnl"/>
        </w:rPr>
        <w:t>primer período de presentación de informes</w:t>
      </w:r>
      <w:r w:rsidR="00321FC6" w:rsidRPr="00BB0A7A">
        <w:rPr>
          <w:lang w:val="es-ES_tradnl"/>
        </w:rPr>
        <w:t xml:space="preserve"> en </w:t>
      </w:r>
      <w:r w:rsidRPr="00BB0A7A">
        <w:rPr>
          <w:lang w:val="es-ES_tradnl"/>
        </w:rPr>
        <w:t xml:space="preserve">un indicador conexo, el 20, relativo a la lucha contra el tráfico ilícito de desechos peligrosos, en especial en lo que hace a la vigilancia de ese tráfico (véase el gráfico </w:t>
      </w:r>
      <w:r w:rsidR="00A4017B" w:rsidRPr="00BB0A7A">
        <w:rPr>
          <w:lang w:val="es-ES_tradnl"/>
        </w:rPr>
        <w:t>VI</w:t>
      </w:r>
      <w:r w:rsidRPr="00BB0A7A">
        <w:rPr>
          <w:lang w:val="es-ES_tradnl"/>
        </w:rPr>
        <w:t>).</w:t>
      </w:r>
    </w:p>
    <w:p w:rsidR="003A1947" w:rsidRPr="00BB0A7A" w:rsidRDefault="00407E33"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Europa Central y Europa Oriental también han logrado progresos considerables en el intercambio de información con otros países sobre los movimientos transfronterizos de desechos pe</w:t>
      </w:r>
      <w:r w:rsidR="00061A01" w:rsidRPr="00BB0A7A">
        <w:rPr>
          <w:lang w:val="es-ES_tradnl"/>
        </w:rPr>
        <w:t>ligrosos: de un tercio de los encuestados</w:t>
      </w:r>
      <w:r w:rsidRPr="00BB0A7A">
        <w:rPr>
          <w:lang w:val="es-ES_tradnl"/>
        </w:rPr>
        <w:t xml:space="preserve"> de la región se ha pasado a la mitad.</w:t>
      </w:r>
    </w:p>
    <w:tbl>
      <w:tblPr>
        <w:tblW w:w="0" w:type="auto"/>
        <w:tblInd w:w="1247" w:type="dxa"/>
        <w:tblLayout w:type="fixed"/>
        <w:tblLook w:val="04A0" w:firstRow="1" w:lastRow="0" w:firstColumn="1" w:lastColumn="0" w:noHBand="0" w:noVBand="1"/>
      </w:tblPr>
      <w:tblGrid>
        <w:gridCol w:w="2406"/>
        <w:gridCol w:w="2410"/>
        <w:gridCol w:w="3649"/>
      </w:tblGrid>
      <w:tr w:rsidR="003A1947" w:rsidRPr="009337B3">
        <w:tc>
          <w:tcPr>
            <w:tcW w:w="2406" w:type="dxa"/>
            <w:tcBorders>
              <w:top w:val="single" w:sz="4" w:space="0" w:color="auto"/>
              <w:bottom w:val="single" w:sz="12" w:space="0" w:color="auto"/>
            </w:tcBorders>
            <w:shd w:val="clear" w:color="auto" w:fill="auto"/>
          </w:tcPr>
          <w:p w:rsidR="003A1947" w:rsidRPr="00BB0A7A" w:rsidRDefault="00407E33" w:rsidP="0058788B">
            <w:pPr>
              <w:spacing w:after="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Elemento básico de l</w:t>
            </w:r>
            <w:r w:rsidR="008B39AE" w:rsidRPr="00BB0A7A">
              <w:rPr>
                <w:rFonts w:ascii="Times New Roman" w:hAnsi="Times New Roman"/>
                <w:i/>
                <w:sz w:val="18"/>
                <w:lang w:val="es-ES_tradnl"/>
              </w:rPr>
              <w:t>a orientación y las directrices </w:t>
            </w:r>
            <w:r w:rsidRPr="00BB0A7A">
              <w:rPr>
                <w:rFonts w:ascii="Times New Roman" w:hAnsi="Times New Roman"/>
                <w:i/>
                <w:sz w:val="18"/>
                <w:lang w:val="es-ES_tradnl"/>
              </w:rPr>
              <w:t>generales</w:t>
            </w:r>
          </w:p>
        </w:tc>
        <w:tc>
          <w:tcPr>
            <w:tcW w:w="2410" w:type="dxa"/>
            <w:tcBorders>
              <w:top w:val="single" w:sz="4" w:space="0" w:color="auto"/>
              <w:bottom w:val="single" w:sz="12" w:space="0" w:color="auto"/>
            </w:tcBorders>
            <w:shd w:val="clear" w:color="auto" w:fill="auto"/>
          </w:tcPr>
          <w:p w:rsidR="003A1947" w:rsidRPr="00BB0A7A" w:rsidRDefault="003A1947" w:rsidP="0058788B">
            <w:pPr>
              <w:spacing w:after="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Indicadores de progresos y cuestiones pertinentes (objetivo E)</w:t>
            </w:r>
          </w:p>
        </w:tc>
        <w:tc>
          <w:tcPr>
            <w:tcW w:w="3649" w:type="dxa"/>
            <w:tcBorders>
              <w:top w:val="single" w:sz="4" w:space="0" w:color="auto"/>
              <w:bottom w:val="single" w:sz="12" w:space="0" w:color="auto"/>
            </w:tcBorders>
            <w:shd w:val="clear" w:color="auto" w:fill="auto"/>
          </w:tcPr>
          <w:p w:rsidR="003A1947" w:rsidRPr="00BB0A7A" w:rsidRDefault="003700F7" w:rsidP="0058788B">
            <w:pPr>
              <w:spacing w:after="0" w:line="240" w:lineRule="auto"/>
              <w:rPr>
                <w:rFonts w:ascii="Times New Roman" w:eastAsia="SimSun" w:hAnsi="Times New Roman" w:cs="Times New Roman"/>
                <w:i/>
                <w:sz w:val="18"/>
                <w:szCs w:val="18"/>
                <w:lang w:val="es-ES_tradnl"/>
              </w:rPr>
            </w:pPr>
            <w:r w:rsidRPr="00BB0A7A">
              <w:rPr>
                <w:rFonts w:ascii="Times New Roman" w:hAnsi="Times New Roman"/>
                <w:i/>
                <w:sz w:val="18"/>
                <w:lang w:val="es-ES_tradnl"/>
              </w:rPr>
              <w:t>Progresos logr</w:t>
            </w:r>
            <w:r w:rsidR="00407E33" w:rsidRPr="00BB0A7A">
              <w:rPr>
                <w:rFonts w:ascii="Times New Roman" w:hAnsi="Times New Roman"/>
                <w:i/>
                <w:sz w:val="18"/>
                <w:lang w:val="es-ES_tradnl"/>
              </w:rPr>
              <w:t>ados entre el primer y el segundo período de presentación de informes (incluidos los casos de éxito a nivel regional)</w:t>
            </w:r>
          </w:p>
        </w:tc>
      </w:tr>
      <w:tr w:rsidR="003A1947" w:rsidRPr="009337B3">
        <w:tc>
          <w:tcPr>
            <w:tcW w:w="2406" w:type="dxa"/>
            <w:tcBorders>
              <w:top w:val="single" w:sz="12" w:space="0" w:color="auto"/>
            </w:tcBorders>
            <w:shd w:val="clear" w:color="auto" w:fill="auto"/>
          </w:tcPr>
          <w:p w:rsidR="003A1947" w:rsidRPr="00BB0A7A" w:rsidRDefault="003A1947" w:rsidP="0058788B">
            <w:pPr>
              <w:spacing w:after="120" w:line="240" w:lineRule="auto"/>
              <w:rPr>
                <w:rFonts w:ascii="Times New Roman" w:hAnsi="Times New Roman" w:cs="Times New Roman"/>
                <w:sz w:val="18"/>
                <w:szCs w:val="18"/>
                <w:lang w:val="es-ES_tradnl"/>
              </w:rPr>
            </w:pPr>
            <w:r w:rsidRPr="00BB0A7A">
              <w:rPr>
                <w:rFonts w:ascii="Times New Roman" w:hAnsi="Times New Roman"/>
                <w:sz w:val="18"/>
                <w:lang w:val="es-ES_tradnl"/>
              </w:rPr>
              <w:t>I</w:t>
            </w:r>
            <w:r w:rsidR="004D51AC" w:rsidRPr="00BB0A7A">
              <w:rPr>
                <w:rFonts w:ascii="Times New Roman" w:hAnsi="Times New Roman"/>
                <w:sz w:val="18"/>
                <w:lang w:val="es-ES_tradnl"/>
              </w:rPr>
              <w:t>.</w:t>
            </w:r>
            <w:r w:rsidRPr="00BB0A7A">
              <w:rPr>
                <w:rFonts w:ascii="Times New Roman" w:hAnsi="Times New Roman"/>
                <w:sz w:val="18"/>
                <w:lang w:val="es-ES_tradnl"/>
              </w:rPr>
              <w:t xml:space="preserve"> Marcos jurídicos que </w:t>
            </w:r>
            <w:r w:rsidR="00B10B36" w:rsidRPr="00BB0A7A">
              <w:rPr>
                <w:rFonts w:ascii="Times New Roman" w:hAnsi="Times New Roman"/>
                <w:sz w:val="18"/>
                <w:lang w:val="es-ES_tradnl"/>
              </w:rPr>
              <w:t>traten</w:t>
            </w:r>
            <w:r w:rsidRPr="00BB0A7A">
              <w:rPr>
                <w:rFonts w:ascii="Times New Roman" w:hAnsi="Times New Roman"/>
                <w:sz w:val="18"/>
                <w:lang w:val="es-ES_tradnl"/>
              </w:rPr>
              <w:t xml:space="preserve"> la cuestión del ciclo de vida de los productos químicos y los desechos</w:t>
            </w:r>
          </w:p>
        </w:tc>
        <w:tc>
          <w:tcPr>
            <w:tcW w:w="2410" w:type="dxa"/>
            <w:tcBorders>
              <w:top w:val="single" w:sz="12" w:space="0" w:color="auto"/>
            </w:tcBorders>
            <w:shd w:val="clear" w:color="auto" w:fill="auto"/>
          </w:tcPr>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Indicador 20 y pregunta relativa a las dispo</w:t>
            </w:r>
            <w:r w:rsidR="00321FC6" w:rsidRPr="00BB0A7A">
              <w:rPr>
                <w:rFonts w:ascii="Times New Roman" w:hAnsi="Times New Roman"/>
                <w:sz w:val="18"/>
                <w:lang w:val="es-ES_tradnl"/>
              </w:rPr>
              <w:t>siciones legislativas</w:t>
            </w:r>
            <w:r w:rsidRPr="00BB0A7A">
              <w:rPr>
                <w:rFonts w:ascii="Times New Roman" w:hAnsi="Times New Roman"/>
                <w:sz w:val="18"/>
                <w:lang w:val="es-ES_tradnl"/>
              </w:rPr>
              <w:t xml:space="preserve"> promulgadas </w:t>
            </w:r>
            <w:r w:rsidR="00321FC6" w:rsidRPr="00BB0A7A">
              <w:rPr>
                <w:rFonts w:ascii="Times New Roman" w:hAnsi="Times New Roman"/>
                <w:sz w:val="18"/>
                <w:lang w:val="es-ES_tradnl"/>
              </w:rPr>
              <w:t xml:space="preserve">a nivel nacional </w:t>
            </w:r>
            <w:r w:rsidRPr="00BB0A7A">
              <w:rPr>
                <w:rFonts w:ascii="Times New Roman" w:hAnsi="Times New Roman"/>
                <w:sz w:val="18"/>
                <w:lang w:val="es-ES_tradnl"/>
              </w:rPr>
              <w:t>para aplica</w:t>
            </w:r>
            <w:r w:rsidR="008B39AE" w:rsidRPr="00BB0A7A">
              <w:rPr>
                <w:rFonts w:ascii="Times New Roman" w:hAnsi="Times New Roman"/>
                <w:sz w:val="18"/>
                <w:lang w:val="es-ES_tradnl"/>
              </w:rPr>
              <w:t>r el artículo 9 del Convenio de Basilea, relativo al tráfico </w:t>
            </w:r>
            <w:r w:rsidRPr="00BB0A7A">
              <w:rPr>
                <w:rFonts w:ascii="Times New Roman" w:hAnsi="Times New Roman"/>
                <w:sz w:val="18"/>
                <w:lang w:val="es-ES_tradnl"/>
              </w:rPr>
              <w:t>ilícito</w:t>
            </w:r>
          </w:p>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(véanse también el objetivo A y el indicador 3, relativos a los desechos peligrosos)</w:t>
            </w:r>
          </w:p>
        </w:tc>
        <w:tc>
          <w:tcPr>
            <w:tcW w:w="3649" w:type="dxa"/>
            <w:tcBorders>
              <w:top w:val="single" w:sz="12" w:space="0" w:color="auto"/>
            </w:tcBorders>
            <w:shd w:val="clear" w:color="auto" w:fill="auto"/>
          </w:tcPr>
          <w:p w:rsidR="003A1947" w:rsidRPr="00BB0A7A" w:rsidRDefault="003A1947" w:rsidP="0058788B">
            <w:pPr>
              <w:pStyle w:val="Normalnumber"/>
              <w:keepNext/>
              <w:keepLines/>
              <w:numPr>
                <w:ilvl w:val="0"/>
                <w:numId w:val="0"/>
              </w:numPr>
              <w:rPr>
                <w:sz w:val="18"/>
                <w:szCs w:val="18"/>
                <w:lang w:val="es-ES_tradnl"/>
              </w:rPr>
            </w:pPr>
            <w:r w:rsidRPr="00BB0A7A">
              <w:rPr>
                <w:sz w:val="18"/>
                <w:lang w:val="es-ES_tradnl"/>
              </w:rPr>
              <w:t>Indicador 20: Más del 70% de las respuestas informan de que se ha promulgado este tipo de legislación, lo que representa un ligero aumento respecto del PR1</w:t>
            </w:r>
          </w:p>
        </w:tc>
      </w:tr>
      <w:tr w:rsidR="003A1947" w:rsidRPr="009337B3">
        <w:tc>
          <w:tcPr>
            <w:tcW w:w="2406" w:type="dxa"/>
            <w:tcBorders>
              <w:bottom w:val="single" w:sz="12" w:space="0" w:color="auto"/>
            </w:tcBorders>
            <w:shd w:val="clear" w:color="auto" w:fill="auto"/>
          </w:tcPr>
          <w:p w:rsidR="003A1947" w:rsidRPr="00BB0A7A" w:rsidRDefault="003A1947" w:rsidP="0058788B">
            <w:pPr>
              <w:spacing w:after="120" w:line="240" w:lineRule="auto"/>
              <w:rPr>
                <w:rFonts w:ascii="Times New Roman" w:hAnsi="Times New Roman" w:cs="Times New Roman"/>
                <w:sz w:val="18"/>
                <w:szCs w:val="18"/>
                <w:lang w:val="es-ES_tradnl"/>
              </w:rPr>
            </w:pPr>
            <w:r w:rsidRPr="00BB0A7A">
              <w:rPr>
                <w:rFonts w:ascii="Times New Roman" w:hAnsi="Times New Roman"/>
                <w:sz w:val="18"/>
                <w:lang w:val="es-ES_tradnl"/>
              </w:rPr>
              <w:t>II</w:t>
            </w:r>
            <w:r w:rsidR="004D51AC" w:rsidRPr="00BB0A7A">
              <w:rPr>
                <w:rFonts w:ascii="Times New Roman" w:hAnsi="Times New Roman"/>
                <w:sz w:val="18"/>
                <w:lang w:val="es-ES_tradnl"/>
              </w:rPr>
              <w:t>.</w:t>
            </w:r>
            <w:r w:rsidRPr="00BB0A7A">
              <w:rPr>
                <w:rFonts w:ascii="Times New Roman" w:hAnsi="Times New Roman"/>
                <w:sz w:val="18"/>
                <w:lang w:val="es-ES_tradnl"/>
              </w:rPr>
              <w:t xml:space="preserve"> Mecanismos pertinentes de aplicación y vigilancia del cumplimiento</w:t>
            </w:r>
          </w:p>
        </w:tc>
        <w:tc>
          <w:tcPr>
            <w:tcW w:w="2410" w:type="dxa"/>
            <w:tcBorders>
              <w:bottom w:val="single" w:sz="12" w:space="0" w:color="auto"/>
            </w:tcBorders>
            <w:shd w:val="clear" w:color="auto" w:fill="auto"/>
          </w:tcPr>
          <w:p w:rsidR="003A1947" w:rsidRPr="00BB0A7A" w:rsidRDefault="003A1947" w:rsidP="0058788B">
            <w:pPr>
              <w:spacing w:after="120" w:line="240" w:lineRule="auto"/>
              <w:rPr>
                <w:rFonts w:ascii="Times New Roman" w:eastAsia="SimSun" w:hAnsi="Times New Roman" w:cs="Times New Roman"/>
                <w:sz w:val="18"/>
                <w:szCs w:val="18"/>
                <w:lang w:val="es-ES_tradnl"/>
              </w:rPr>
            </w:pPr>
            <w:r w:rsidRPr="00BB0A7A">
              <w:rPr>
                <w:rFonts w:ascii="Times New Roman" w:hAnsi="Times New Roman"/>
                <w:sz w:val="18"/>
                <w:lang w:val="es-ES_tradnl"/>
              </w:rPr>
              <w:t xml:space="preserve">Indicadores 19 y 20, relativos a los mecanismos para prevenir el tráfico ilícito: opciones para la aplicación de las disposiciones legislativas </w:t>
            </w:r>
            <w:r w:rsidR="00321FC6" w:rsidRPr="00BB0A7A">
              <w:rPr>
                <w:rFonts w:ascii="Times New Roman" w:hAnsi="Times New Roman"/>
                <w:sz w:val="18"/>
                <w:lang w:val="es-ES_tradnl"/>
              </w:rPr>
              <w:t xml:space="preserve">promulgadas a nivel </w:t>
            </w:r>
            <w:r w:rsidRPr="00BB0A7A">
              <w:rPr>
                <w:rFonts w:ascii="Times New Roman" w:hAnsi="Times New Roman"/>
                <w:sz w:val="18"/>
                <w:lang w:val="es-ES_tradnl"/>
              </w:rPr>
              <w:t>nacional</w:t>
            </w:r>
            <w:r w:rsidR="00321FC6" w:rsidRPr="00BB0A7A">
              <w:rPr>
                <w:rFonts w:ascii="Times New Roman" w:hAnsi="Times New Roman"/>
                <w:sz w:val="18"/>
                <w:lang w:val="es-ES_tradnl"/>
              </w:rPr>
              <w:t xml:space="preserve"> para </w:t>
            </w:r>
            <w:r w:rsidRPr="00BB0A7A">
              <w:rPr>
                <w:rFonts w:ascii="Times New Roman" w:hAnsi="Times New Roman"/>
                <w:sz w:val="18"/>
                <w:lang w:val="es-ES_tradnl"/>
              </w:rPr>
              <w:t>impedir el tráfico ilícito de desechos peligrosos y cooperación y ac</w:t>
            </w:r>
            <w:r w:rsidR="00A04810" w:rsidRPr="00BB0A7A">
              <w:rPr>
                <w:rFonts w:ascii="Times New Roman" w:hAnsi="Times New Roman"/>
                <w:sz w:val="18"/>
                <w:lang w:val="es-ES_tradnl"/>
              </w:rPr>
              <w:t>uerdos jurídicos con los países </w:t>
            </w:r>
            <w:r w:rsidRPr="00BB0A7A">
              <w:rPr>
                <w:rFonts w:ascii="Times New Roman" w:hAnsi="Times New Roman"/>
                <w:sz w:val="18"/>
                <w:lang w:val="es-ES_tradnl"/>
              </w:rPr>
              <w:t>vecinos</w:t>
            </w:r>
          </w:p>
        </w:tc>
        <w:tc>
          <w:tcPr>
            <w:tcW w:w="3649" w:type="dxa"/>
            <w:tcBorders>
              <w:bottom w:val="single" w:sz="12" w:space="0" w:color="auto"/>
            </w:tcBorders>
            <w:shd w:val="clear" w:color="auto" w:fill="auto"/>
          </w:tcPr>
          <w:p w:rsidR="003A1947" w:rsidRPr="00BB0A7A" w:rsidRDefault="003A1947" w:rsidP="0058788B">
            <w:pPr>
              <w:pStyle w:val="Normalnumber"/>
              <w:keepNext/>
              <w:keepLines/>
              <w:numPr>
                <w:ilvl w:val="0"/>
                <w:numId w:val="0"/>
              </w:numPr>
              <w:rPr>
                <w:sz w:val="18"/>
                <w:szCs w:val="18"/>
                <w:lang w:val="es-ES_tradnl"/>
              </w:rPr>
            </w:pPr>
            <w:r w:rsidRPr="00BB0A7A">
              <w:rPr>
                <w:sz w:val="18"/>
                <w:lang w:val="es-ES_tradnl"/>
              </w:rPr>
              <w:t>Indica</w:t>
            </w:r>
            <w:r w:rsidR="00321FC6" w:rsidRPr="00BB0A7A">
              <w:rPr>
                <w:sz w:val="18"/>
                <w:lang w:val="es-ES_tradnl"/>
              </w:rPr>
              <w:t>dor 19: Aumento de un 20% en el número de</w:t>
            </w:r>
            <w:r w:rsidRPr="00BB0A7A">
              <w:rPr>
                <w:sz w:val="18"/>
                <w:lang w:val="es-ES_tradnl"/>
              </w:rPr>
              <w:t xml:space="preserve"> países qu</w:t>
            </w:r>
            <w:r w:rsidR="00EB031D" w:rsidRPr="00BB0A7A">
              <w:rPr>
                <w:sz w:val="18"/>
                <w:lang w:val="es-ES_tradnl"/>
              </w:rPr>
              <w:t>e informan de que han aplicado “</w:t>
            </w:r>
            <w:r w:rsidRPr="00BB0A7A">
              <w:rPr>
                <w:sz w:val="18"/>
                <w:lang w:val="es-ES_tradnl"/>
              </w:rPr>
              <w:t>disposiciones legislativas para impedir el tráfico</w:t>
            </w:r>
            <w:r w:rsidR="00EB031D" w:rsidRPr="00BB0A7A">
              <w:rPr>
                <w:sz w:val="18"/>
                <w:lang w:val="es-ES_tradnl"/>
              </w:rPr>
              <w:t xml:space="preserve"> ilícito”</w:t>
            </w:r>
          </w:p>
          <w:p w:rsidR="003A1947" w:rsidRPr="00BB0A7A" w:rsidRDefault="003A1947" w:rsidP="0058788B">
            <w:pPr>
              <w:pStyle w:val="Normalnumber"/>
              <w:keepNext/>
              <w:keepLines/>
              <w:numPr>
                <w:ilvl w:val="0"/>
                <w:numId w:val="0"/>
              </w:numPr>
              <w:rPr>
                <w:sz w:val="18"/>
                <w:szCs w:val="18"/>
                <w:lang w:val="es-ES_tradnl"/>
              </w:rPr>
            </w:pPr>
            <w:r w:rsidRPr="00BB0A7A">
              <w:rPr>
                <w:sz w:val="18"/>
                <w:lang w:val="es-ES_tradnl"/>
              </w:rPr>
              <w:t>Indicador 20 (desechos peligrosos): el número de países que informan de actividades de vigilancia de tráfico ilícito de desechos ha aumentado en más del 35% en las regiones de Asia y el Pacífico y América Latina y el Caribe: del 20% en el PR1 se ha pasado al 56% y el 60%, respectivamente, en el PR2</w:t>
            </w:r>
          </w:p>
        </w:tc>
      </w:tr>
    </w:tbl>
    <w:p w:rsidR="003F3311" w:rsidRDefault="00A4017B" w:rsidP="0058788B">
      <w:pPr>
        <w:pStyle w:val="Titletable"/>
        <w:spacing w:before="40" w:after="120"/>
        <w:rPr>
          <w:b w:val="0"/>
          <w:i/>
          <w:sz w:val="18"/>
          <w:szCs w:val="18"/>
          <w:lang w:val="es-ES_tradnl"/>
        </w:rPr>
      </w:pPr>
      <w:r w:rsidRPr="002306B7">
        <w:rPr>
          <w:b w:val="0"/>
          <w:i/>
          <w:sz w:val="18"/>
          <w:szCs w:val="18"/>
          <w:lang w:val="es-ES_tradnl"/>
        </w:rPr>
        <w:t>Abreviaturas: PR1, primer período de presentación de informes; PR2, segundo período de presentación de informes</w:t>
      </w:r>
      <w:r w:rsidR="00CB737A" w:rsidRPr="002306B7">
        <w:rPr>
          <w:b w:val="0"/>
          <w:i/>
          <w:sz w:val="18"/>
          <w:szCs w:val="18"/>
          <w:lang w:val="es-ES_tradnl"/>
        </w:rPr>
        <w:t>.</w:t>
      </w:r>
    </w:p>
    <w:p w:rsidR="003F3311" w:rsidRDefault="003F3311">
      <w:pPr>
        <w:spacing w:after="0" w:line="240" w:lineRule="auto"/>
        <w:rPr>
          <w:rFonts w:ascii="Times New Roman" w:eastAsia="Times New Roman" w:hAnsi="Times New Roman" w:cs="Times New Roman"/>
          <w:bCs/>
          <w:i/>
          <w:sz w:val="18"/>
          <w:szCs w:val="18"/>
          <w:lang w:val="es-ES_tradnl"/>
        </w:rPr>
      </w:pPr>
      <w:r>
        <w:rPr>
          <w:b/>
          <w:i/>
          <w:sz w:val="18"/>
          <w:szCs w:val="18"/>
          <w:lang w:val="es-ES_tradnl"/>
        </w:rPr>
        <w:br w:type="page"/>
      </w:r>
    </w:p>
    <w:p w:rsidR="002A7F8A" w:rsidRPr="00BB0A7A" w:rsidRDefault="003A1947" w:rsidP="002A7F8A">
      <w:pPr>
        <w:pStyle w:val="Titletable"/>
        <w:keepNext w:val="0"/>
        <w:keepLines w:val="0"/>
        <w:spacing w:after="0"/>
        <w:rPr>
          <w:rFonts w:eastAsia="SimSun"/>
          <w:b w:val="0"/>
          <w:lang w:val="es-ES_tradnl"/>
        </w:rPr>
      </w:pPr>
      <w:r w:rsidRPr="00BB0A7A">
        <w:rPr>
          <w:b w:val="0"/>
          <w:lang w:val="es-ES_tradnl"/>
        </w:rPr>
        <w:t>Gráfico VI</w:t>
      </w:r>
    </w:p>
    <w:p w:rsidR="003A1947" w:rsidRPr="00BB0A7A" w:rsidRDefault="003A1947" w:rsidP="002A7F8A">
      <w:pPr>
        <w:pStyle w:val="Titletable"/>
        <w:keepNext w:val="0"/>
        <w:keepLines w:val="0"/>
        <w:spacing w:after="120"/>
        <w:rPr>
          <w:rFonts w:eastAsia="SimSun"/>
          <w:lang w:val="es-ES_tradnl"/>
        </w:rPr>
      </w:pPr>
      <w:r w:rsidRPr="00BB0A7A">
        <w:rPr>
          <w:lang w:val="es-ES_tradnl"/>
        </w:rPr>
        <w:t xml:space="preserve">Incremento del porcentaje de interesados que seleccionan opciones </w:t>
      </w:r>
      <w:r w:rsidR="008B39AE" w:rsidRPr="00BB0A7A">
        <w:rPr>
          <w:lang w:val="es-ES_tradnl"/>
        </w:rPr>
        <w:t>relativas a los indicadores del </w:t>
      </w:r>
      <w:r w:rsidRPr="00BB0A7A">
        <w:rPr>
          <w:lang w:val="es-ES_tradnl"/>
        </w:rPr>
        <w:t>objetivo E (</w:t>
      </w:r>
      <w:r w:rsidR="00A4017B" w:rsidRPr="00BB0A7A">
        <w:rPr>
          <w:lang w:val="es-ES_tradnl"/>
        </w:rPr>
        <w:t>Comparación entre el segundo y el primer período de presentación de informes</w:t>
      </w:r>
      <w:r w:rsidRPr="00BB0A7A">
        <w:rPr>
          <w:lang w:val="es-ES_tradnl"/>
        </w:rPr>
        <w:t>)</w:t>
      </w:r>
    </w:p>
    <w:p w:rsidR="00B26EF0" w:rsidRPr="00BB0A7A" w:rsidRDefault="00A221E7" w:rsidP="002A7F8A">
      <w:pPr>
        <w:pStyle w:val="Normalnumber"/>
        <w:numPr>
          <w:ilvl w:val="0"/>
          <w:numId w:val="0"/>
        </w:numPr>
        <w:ind w:left="1247"/>
        <w:rPr>
          <w:lang w:val="es-ES_tradnl"/>
        </w:rPr>
      </w:pPr>
      <w:r>
        <w:rPr>
          <w:noProof/>
          <w:lang w:val="en-US"/>
        </w:rPr>
        <w:drawing>
          <wp:inline distT="0" distB="0" distL="0" distR="0" wp14:anchorId="5537AC48" wp14:editId="53D934C0">
            <wp:extent cx="5107827" cy="358535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7993" cy="3585474"/>
                    </a:xfrm>
                    <a:prstGeom prst="rect">
                      <a:avLst/>
                    </a:prstGeom>
                    <a:noFill/>
                    <a:ln>
                      <a:noFill/>
                    </a:ln>
                  </pic:spPr>
                </pic:pic>
              </a:graphicData>
            </a:graphic>
          </wp:inline>
        </w:drawing>
      </w:r>
    </w:p>
    <w:p w:rsidR="002E33B5" w:rsidRPr="00BB0A7A" w:rsidRDefault="00F01599" w:rsidP="00F01599">
      <w:pPr>
        <w:pStyle w:val="CH1"/>
        <w:rPr>
          <w:lang w:val="es-ES_tradnl"/>
        </w:rPr>
      </w:pPr>
      <w:r w:rsidRPr="00BB0A7A">
        <w:rPr>
          <w:lang w:val="es-ES_tradnl"/>
        </w:rPr>
        <w:tab/>
        <w:t>IV.</w:t>
      </w:r>
      <w:r w:rsidR="00972871" w:rsidRPr="00BB0A7A">
        <w:rPr>
          <w:lang w:val="es-ES_tradnl"/>
        </w:rPr>
        <w:tab/>
      </w:r>
      <w:r w:rsidRPr="00BB0A7A">
        <w:rPr>
          <w:lang w:val="es-ES_tradnl"/>
        </w:rPr>
        <w:t>Conclusiones</w:t>
      </w:r>
    </w:p>
    <w:p w:rsidR="0043261C" w:rsidRPr="00BB0A7A" w:rsidRDefault="00CE0E1F"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El resumen demuestra que es posible establecer una relación entre la mayoría de los indicadores y los elementos básicos definidos en la orientación y las directrices generales para lograr la meta de la gestión racional d</w:t>
      </w:r>
      <w:r w:rsidR="00C90842" w:rsidRPr="00BB0A7A">
        <w:rPr>
          <w:lang w:val="es-ES_tradnl"/>
        </w:rPr>
        <w:t>e los productos químicos fijada</w:t>
      </w:r>
      <w:r w:rsidRPr="00BB0A7A">
        <w:rPr>
          <w:lang w:val="es-ES_tradnl"/>
        </w:rPr>
        <w:t xml:space="preserve"> para</w:t>
      </w:r>
      <w:r w:rsidR="00C90842" w:rsidRPr="00BB0A7A">
        <w:rPr>
          <w:lang w:val="es-ES_tradnl"/>
        </w:rPr>
        <w:t xml:space="preserve"> 2020. Si bien hay cierta concorda</w:t>
      </w:r>
      <w:r w:rsidRPr="00BB0A7A">
        <w:rPr>
          <w:lang w:val="es-ES_tradnl"/>
        </w:rPr>
        <w:t>ncia en esa relación, los interesados tal vez deseen examinar m</w:t>
      </w:r>
      <w:r w:rsidR="00A04810" w:rsidRPr="00BB0A7A">
        <w:rPr>
          <w:lang w:val="es-ES_tradnl"/>
        </w:rPr>
        <w:t>ás a fondo los indicadores para </w:t>
      </w:r>
      <w:r w:rsidR="00627A95" w:rsidRPr="00BB0A7A">
        <w:rPr>
          <w:lang w:val="es-ES_tradnl"/>
        </w:rPr>
        <w:t xml:space="preserve">lograr </w:t>
      </w:r>
      <w:r w:rsidRPr="00BB0A7A">
        <w:rPr>
          <w:lang w:val="es-ES_tradnl"/>
        </w:rPr>
        <w:t>que respondan mejor a los elementos básicos con vistas a la</w:t>
      </w:r>
      <w:r w:rsidR="00A04810" w:rsidRPr="00BB0A7A">
        <w:rPr>
          <w:lang w:val="es-ES_tradnl"/>
        </w:rPr>
        <w:t xml:space="preserve"> presentación de informes en el </w:t>
      </w:r>
      <w:r w:rsidRPr="00BB0A7A">
        <w:rPr>
          <w:lang w:val="es-ES_tradnl"/>
        </w:rPr>
        <w:t>futuro.</w:t>
      </w:r>
    </w:p>
    <w:p w:rsidR="005D6B7D" w:rsidRPr="00BB0A7A" w:rsidRDefault="004A44D5"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Las preguntas y los indicadores basados en las actividades pueden ser subjetivos y prestarse a respuestas</w:t>
      </w:r>
      <w:r w:rsidR="00B22B9B" w:rsidRPr="00BB0A7A">
        <w:rPr>
          <w:lang w:val="es-ES_tradnl"/>
        </w:rPr>
        <w:t xml:space="preserve"> muy variadas, lo cual podría deberse</w:t>
      </w:r>
      <w:r w:rsidRPr="00BB0A7A">
        <w:rPr>
          <w:lang w:val="es-ES_tradnl"/>
        </w:rPr>
        <w:t xml:space="preserve"> en parte a la naturaleza de los indicadores, que se basan en la autoevaluación. Los interesados tal vez deseen tratar</w:t>
      </w:r>
      <w:r w:rsidR="00B22B9B" w:rsidRPr="00BB0A7A">
        <w:rPr>
          <w:lang w:val="es-ES_tradnl"/>
        </w:rPr>
        <w:t xml:space="preserve"> de cuantificar esa variación</w:t>
      </w:r>
      <w:r w:rsidRPr="00BB0A7A">
        <w:rPr>
          <w:lang w:val="es-ES_tradnl"/>
        </w:rPr>
        <w:t xml:space="preserve"> (por ejemplo, mediante un grupo de discusión de usuarios) y estudiar la forma de reducirla, tal vez ofreciendo orientación específica para cada cuestión o proponiendo formatos para que los informantes registren las pruebas de las respuestas y los usen en las futuras presentaciones.</w:t>
      </w:r>
    </w:p>
    <w:p w:rsidR="009033FC" w:rsidRPr="00BB0A7A" w:rsidRDefault="00C14289"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Los resultados demuestran que las distintas regiones y agrupaciones económicas han adoptado enfoques diferentes para alcanzar la meta de 2020. El proceso de recolección de pruebas y datos básicos (por ejemplo, sobre intoxicaciones o gastos en la gestión de</w:t>
      </w:r>
      <w:r w:rsidR="00A04810" w:rsidRPr="00BB0A7A">
        <w:rPr>
          <w:lang w:val="es-ES_tradnl"/>
        </w:rPr>
        <w:t xml:space="preserve"> productos químicos) es un paso </w:t>
      </w:r>
      <w:r w:rsidRPr="00BB0A7A">
        <w:rPr>
          <w:lang w:val="es-ES_tradnl"/>
        </w:rPr>
        <w:t>indispensable para lograr la incorporación de la gestión de p</w:t>
      </w:r>
      <w:r w:rsidR="00A04810" w:rsidRPr="00BB0A7A">
        <w:rPr>
          <w:lang w:val="es-ES_tradnl"/>
        </w:rPr>
        <w:t>roductos químicos en los planes </w:t>
      </w:r>
      <w:r w:rsidRPr="00BB0A7A">
        <w:rPr>
          <w:lang w:val="es-ES_tradnl"/>
        </w:rPr>
        <w:t>nacionales.</w:t>
      </w:r>
    </w:p>
    <w:p w:rsidR="000D6120" w:rsidRPr="00BB0A7A" w:rsidRDefault="00736A64"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Es probable que</w:t>
      </w:r>
      <w:r w:rsidR="00B22B9B" w:rsidRPr="00BB0A7A">
        <w:rPr>
          <w:lang w:val="es-ES_tradnl"/>
        </w:rPr>
        <w:t xml:space="preserve"> en el futuro también haga falta recopilar más pruebas y datos basados en resultados</w:t>
      </w:r>
      <w:r w:rsidRPr="00BB0A7A">
        <w:rPr>
          <w:lang w:val="es-ES_tradnl"/>
        </w:rPr>
        <w:t xml:space="preserve"> para incluir </w:t>
      </w:r>
      <w:r w:rsidR="00B22B9B" w:rsidRPr="00BB0A7A">
        <w:rPr>
          <w:lang w:val="es-ES_tradnl"/>
        </w:rPr>
        <w:t xml:space="preserve">las </w:t>
      </w:r>
      <w:r w:rsidRPr="00BB0A7A">
        <w:rPr>
          <w:lang w:val="es-ES_tradnl"/>
        </w:rPr>
        <w:t>metas de gestión de productos químicos en muchos de los objetivos de desarrollo sostenible y no en forma de objetivo independiente</w:t>
      </w:r>
      <w:r w:rsidR="00B22B9B" w:rsidRPr="00BB0A7A">
        <w:rPr>
          <w:lang w:val="es-ES_tradnl"/>
        </w:rPr>
        <w:t>.</w:t>
      </w:r>
    </w:p>
    <w:p w:rsidR="009B216D" w:rsidRPr="00BB0A7A" w:rsidRDefault="000B540B" w:rsidP="00BD6CE0">
      <w:pPr>
        <w:pStyle w:val="Normalnumber"/>
        <w:numPr>
          <w:ilvl w:val="0"/>
          <w:numId w:val="8"/>
        </w:numPr>
        <w:tabs>
          <w:tab w:val="clear" w:pos="567"/>
          <w:tab w:val="clear" w:pos="1247"/>
          <w:tab w:val="clear" w:pos="1814"/>
          <w:tab w:val="clear" w:pos="2381"/>
          <w:tab w:val="clear" w:pos="2948"/>
          <w:tab w:val="clear" w:pos="3515"/>
        </w:tabs>
        <w:rPr>
          <w:lang w:val="es-ES_tradnl"/>
        </w:rPr>
      </w:pPr>
      <w:r w:rsidRPr="00BB0A7A">
        <w:rPr>
          <w:lang w:val="es-ES_tradnl"/>
        </w:rPr>
        <w:t xml:space="preserve">Pese a que se ha insistido mucho en la necesidad de afrontar la gestión racional de los productos químicos y los desechos en los planos nacional, regional y mundial, el resumen demuestra que para lograr la meta de 2020 se necesitan bastantes más actividades. Asimismo, el resumen pone de manifiesto que la gestión racional de los productos químicos y los desechos después de 2020 es </w:t>
      </w:r>
      <w:r w:rsidR="00B22B9B" w:rsidRPr="00BB0A7A">
        <w:rPr>
          <w:lang w:val="es-ES_tradnl"/>
        </w:rPr>
        <w:t xml:space="preserve">un elemento </w:t>
      </w:r>
      <w:r w:rsidRPr="00BB0A7A">
        <w:rPr>
          <w:lang w:val="es-ES_tradnl"/>
        </w:rPr>
        <w:t>indispensable para resolver los problemas cada ve</w:t>
      </w:r>
      <w:r w:rsidR="00B22B9B" w:rsidRPr="00BB0A7A">
        <w:rPr>
          <w:lang w:val="es-ES_tradnl"/>
        </w:rPr>
        <w:t>z más numerosos que se plantean</w:t>
      </w:r>
      <w:r w:rsidRPr="00BB0A7A">
        <w:rPr>
          <w:lang w:val="es-ES_tradnl"/>
        </w:rPr>
        <w:t xml:space="preserve"> en todos los sectores afectados.</w:t>
      </w:r>
    </w:p>
    <w:p w:rsidR="003A1947" w:rsidRPr="00BB0A7A" w:rsidRDefault="002B79BB" w:rsidP="002A7F8A">
      <w:pPr>
        <w:pStyle w:val="ZZAnxheader"/>
        <w:rPr>
          <w:lang w:val="es-ES_tradnl"/>
        </w:rPr>
      </w:pPr>
      <w:r w:rsidRPr="00BB0A7A">
        <w:rPr>
          <w:rFonts w:ascii="Calibri" w:eastAsia="SimSun" w:hAnsi="Calibri"/>
          <w:sz w:val="24"/>
          <w:szCs w:val="24"/>
          <w:lang w:val="es-ES_tradnl"/>
        </w:rPr>
        <w:br w:type="page"/>
      </w:r>
      <w:r w:rsidRPr="00BB0A7A">
        <w:rPr>
          <w:lang w:val="es-ES_tradnl"/>
        </w:rPr>
        <w:t>Apéndice I</w:t>
      </w:r>
    </w:p>
    <w:p w:rsidR="003A1947" w:rsidRPr="00BB0A7A" w:rsidRDefault="003A1947" w:rsidP="002A7F8A">
      <w:pPr>
        <w:pStyle w:val="ZZAnxtitle"/>
        <w:rPr>
          <w:lang w:val="es-ES_tradnl"/>
        </w:rPr>
      </w:pPr>
      <w:r w:rsidRPr="00BB0A7A">
        <w:rPr>
          <w:lang w:val="es-ES_tradnl"/>
        </w:rPr>
        <w:t>Lista de interesados que han aportado</w:t>
      </w:r>
      <w:r w:rsidR="00A04810" w:rsidRPr="00BB0A7A">
        <w:rPr>
          <w:lang w:val="es-ES_tradnl"/>
        </w:rPr>
        <w:t xml:space="preserve"> datos sobre la presentación de </w:t>
      </w:r>
      <w:r w:rsidRPr="00BB0A7A">
        <w:rPr>
          <w:lang w:val="es-ES_tradnl"/>
        </w:rPr>
        <w:t>informes</w:t>
      </w:r>
    </w:p>
    <w:p w:rsidR="00F01599" w:rsidRPr="00BB0A7A" w:rsidRDefault="003A1947" w:rsidP="00BD6CE0">
      <w:pPr>
        <w:pStyle w:val="Normalnumber"/>
        <w:numPr>
          <w:ilvl w:val="0"/>
          <w:numId w:val="9"/>
        </w:numPr>
        <w:tabs>
          <w:tab w:val="clear" w:pos="567"/>
          <w:tab w:val="clear" w:pos="1247"/>
          <w:tab w:val="clear" w:pos="1814"/>
          <w:tab w:val="clear" w:pos="2381"/>
          <w:tab w:val="clear" w:pos="2948"/>
          <w:tab w:val="clear" w:pos="3515"/>
        </w:tabs>
        <w:rPr>
          <w:lang w:val="es-ES_tradnl"/>
        </w:rPr>
      </w:pPr>
      <w:r w:rsidRPr="00BB0A7A">
        <w:rPr>
          <w:lang w:val="es-ES_tradnl"/>
        </w:rPr>
        <w:t xml:space="preserve">Los 78 gobiernos siguientes cumplimentaron íntegramente el cuestionario en línea: Albania, Alemania, Argelia, Argentina, Australia, </w:t>
      </w:r>
      <w:proofErr w:type="spellStart"/>
      <w:r w:rsidRPr="00BB0A7A">
        <w:rPr>
          <w:lang w:val="es-ES_tradnl"/>
        </w:rPr>
        <w:t>Belarús</w:t>
      </w:r>
      <w:proofErr w:type="spellEnd"/>
      <w:r w:rsidRPr="00BB0A7A">
        <w:rPr>
          <w:lang w:val="es-ES_tradnl"/>
        </w:rPr>
        <w:t xml:space="preserve">, Bélgica, Belice, Bulgaria, Burundi, Camboya, </w:t>
      </w:r>
      <w:r w:rsidR="008B39AE" w:rsidRPr="00BB0A7A">
        <w:rPr>
          <w:lang w:val="es-ES_tradnl"/>
        </w:rPr>
        <w:t xml:space="preserve">Canadá, </w:t>
      </w:r>
      <w:r w:rsidRPr="00BB0A7A">
        <w:rPr>
          <w:lang w:val="es-ES_tradnl"/>
        </w:rPr>
        <w:t xml:space="preserve">Chile, Chipre, Colombia, Costa Rica, Croacia, Cuba, Dinamarca, Ecuador, Egipto, Eslovenia, España, Estados Unidos de América, ex República Yugoslava de Macedonia, Filipinas, Finlandia, Gambia, Guatemala, Haití, Honduras, Hungría, India, Islandia, las Islas Salomón, </w:t>
      </w:r>
      <w:r w:rsidR="00255F6D" w:rsidRPr="00BB0A7A">
        <w:rPr>
          <w:lang w:val="es-ES_tradnl"/>
        </w:rPr>
        <w:t xml:space="preserve">Japón, </w:t>
      </w:r>
      <w:r w:rsidRPr="00BB0A7A">
        <w:rPr>
          <w:lang w:val="es-ES_tradnl"/>
        </w:rPr>
        <w:t xml:space="preserve">Jamaica, </w:t>
      </w:r>
      <w:proofErr w:type="spellStart"/>
      <w:r w:rsidRPr="00BB0A7A">
        <w:rPr>
          <w:lang w:val="es-ES_tradnl"/>
        </w:rPr>
        <w:t>Kenya</w:t>
      </w:r>
      <w:proofErr w:type="spellEnd"/>
      <w:r w:rsidRPr="00BB0A7A">
        <w:rPr>
          <w:lang w:val="es-ES_tradnl"/>
        </w:rPr>
        <w:t xml:space="preserve">, </w:t>
      </w:r>
      <w:proofErr w:type="spellStart"/>
      <w:r w:rsidRPr="00BB0A7A">
        <w:rPr>
          <w:lang w:val="es-ES_tradnl"/>
        </w:rPr>
        <w:t>Lesotho</w:t>
      </w:r>
      <w:proofErr w:type="spellEnd"/>
      <w:r w:rsidRPr="00BB0A7A">
        <w:rPr>
          <w:lang w:val="es-ES_tradnl"/>
        </w:rPr>
        <w:t xml:space="preserve">, Letonia, Lituania, Malasia, Maldivas, Malí, Mauricio, México, Mónaco, Níger, Nigeria, Noruega, Nueva Zelandia, </w:t>
      </w:r>
      <w:proofErr w:type="spellStart"/>
      <w:r w:rsidRPr="00BB0A7A">
        <w:rPr>
          <w:lang w:val="es-ES_tradnl"/>
        </w:rPr>
        <w:t>Palau</w:t>
      </w:r>
      <w:proofErr w:type="spellEnd"/>
      <w:r w:rsidRPr="00BB0A7A">
        <w:rPr>
          <w:lang w:val="es-ES_tradnl"/>
        </w:rPr>
        <w:t xml:space="preserve">, Panamá, Perú, Polonia, Portugal, República Checa, República de Corea, República Dominicana, República Unida de </w:t>
      </w:r>
      <w:proofErr w:type="spellStart"/>
      <w:r w:rsidRPr="00BB0A7A">
        <w:rPr>
          <w:lang w:val="es-ES_tradnl"/>
        </w:rPr>
        <w:t>Tanzanía</w:t>
      </w:r>
      <w:proofErr w:type="spellEnd"/>
      <w:r w:rsidRPr="00BB0A7A">
        <w:rPr>
          <w:lang w:val="es-ES_tradnl"/>
        </w:rPr>
        <w:t xml:space="preserve">, Rumania, San Vicente y las Granadinas, Santa Lucía, Senegal, Serbia, Seychelles, Sierra Leona, Sudáfrica, Sudán, Suecia, Suiza, </w:t>
      </w:r>
      <w:proofErr w:type="spellStart"/>
      <w:r w:rsidRPr="00BB0A7A">
        <w:rPr>
          <w:lang w:val="es-ES_tradnl"/>
        </w:rPr>
        <w:t>Suriname</w:t>
      </w:r>
      <w:proofErr w:type="spellEnd"/>
      <w:r w:rsidRPr="00BB0A7A">
        <w:rPr>
          <w:lang w:val="es-ES_tradnl"/>
        </w:rPr>
        <w:t xml:space="preserve">, Tailandia, Ucrania, Uganda, Uruguay, </w:t>
      </w:r>
      <w:proofErr w:type="spellStart"/>
      <w:r w:rsidRPr="00BB0A7A">
        <w:rPr>
          <w:lang w:val="es-ES_tradnl"/>
        </w:rPr>
        <w:t>Viet</w:t>
      </w:r>
      <w:proofErr w:type="spellEnd"/>
      <w:r w:rsidRPr="00BB0A7A">
        <w:rPr>
          <w:lang w:val="es-ES_tradnl"/>
        </w:rPr>
        <w:t xml:space="preserve"> </w:t>
      </w:r>
      <w:proofErr w:type="spellStart"/>
      <w:r w:rsidRPr="00BB0A7A">
        <w:rPr>
          <w:lang w:val="es-ES_tradnl"/>
        </w:rPr>
        <w:t>Nam</w:t>
      </w:r>
      <w:proofErr w:type="spellEnd"/>
      <w:r w:rsidRPr="00BB0A7A">
        <w:rPr>
          <w:lang w:val="es-ES_tradnl"/>
        </w:rPr>
        <w:t xml:space="preserve"> y Zambia. Los siguientes diez go</w:t>
      </w:r>
      <w:r w:rsidR="00B22B9B" w:rsidRPr="00BB0A7A">
        <w:rPr>
          <w:lang w:val="es-ES_tradnl"/>
        </w:rPr>
        <w:t>biernos cumplimentaron parcialmente el</w:t>
      </w:r>
      <w:r w:rsidRPr="00BB0A7A">
        <w:rPr>
          <w:lang w:val="es-ES_tradnl"/>
        </w:rPr>
        <w:t xml:space="preserve"> cuestionario en línea: Austria, </w:t>
      </w:r>
      <w:proofErr w:type="spellStart"/>
      <w:r w:rsidRPr="00BB0A7A">
        <w:rPr>
          <w:lang w:val="es-ES_tradnl"/>
        </w:rPr>
        <w:t>Bahrein</w:t>
      </w:r>
      <w:proofErr w:type="spellEnd"/>
      <w:r w:rsidRPr="00BB0A7A">
        <w:rPr>
          <w:lang w:val="es-ES_tradnl"/>
        </w:rPr>
        <w:t>, Chad, Ghana, Islas Marshall, Liberia, Madagascar, Malawi, Qatar y República Árabe Siria.</w:t>
      </w:r>
    </w:p>
    <w:p w:rsidR="00ED389B" w:rsidRPr="00ED389B" w:rsidRDefault="003A1947" w:rsidP="00ED389B">
      <w:pPr>
        <w:pStyle w:val="Normalnumber"/>
        <w:numPr>
          <w:ilvl w:val="0"/>
          <w:numId w:val="9"/>
        </w:numPr>
        <w:tabs>
          <w:tab w:val="clear" w:pos="567"/>
          <w:tab w:val="clear" w:pos="1247"/>
          <w:tab w:val="clear" w:pos="1814"/>
          <w:tab w:val="clear" w:pos="2381"/>
          <w:tab w:val="clear" w:pos="2948"/>
          <w:tab w:val="clear" w:pos="3515"/>
        </w:tabs>
        <w:rPr>
          <w:lang w:val="es-ES_tradnl"/>
        </w:rPr>
      </w:pPr>
      <w:r w:rsidRPr="00BB0A7A">
        <w:rPr>
          <w:lang w:val="es-ES_tradnl"/>
        </w:rPr>
        <w:t xml:space="preserve">Las 11 organizaciones intergubernamentales siguientes, entre ellas seis organizaciones participantes del </w:t>
      </w:r>
      <w:r w:rsidR="00A4017B" w:rsidRPr="00BB0A7A">
        <w:rPr>
          <w:lang w:val="es-ES_tradnl"/>
        </w:rPr>
        <w:t>Programa Interinstitucional de Gestión Racional de los Productos Químicos</w:t>
      </w:r>
      <w:r w:rsidRPr="00BB0A7A">
        <w:rPr>
          <w:lang w:val="es-ES_tradnl"/>
        </w:rPr>
        <w:t xml:space="preserve">, cumplimentaron íntegramente los formularios: </w:t>
      </w:r>
      <w:r w:rsidR="00ED389B" w:rsidRPr="00BB0A7A">
        <w:rPr>
          <w:lang w:val="es-ES_tradnl"/>
        </w:rPr>
        <w:t>Banco Mu</w:t>
      </w:r>
      <w:r w:rsidR="00ED389B">
        <w:rPr>
          <w:lang w:val="es-ES_tradnl"/>
        </w:rPr>
        <w:t xml:space="preserve">ndial, </w:t>
      </w:r>
      <w:r w:rsidR="00ED389B" w:rsidRPr="00BB0A7A">
        <w:rPr>
          <w:lang w:val="es-ES_tradnl"/>
        </w:rPr>
        <w:t>Comisión Europea</w:t>
      </w:r>
      <w:r w:rsidR="00ED389B">
        <w:rPr>
          <w:lang w:val="es-ES_tradnl"/>
        </w:rPr>
        <w:t xml:space="preserve">, </w:t>
      </w:r>
      <w:r w:rsidR="00ED389B" w:rsidRPr="00BB0A7A">
        <w:rPr>
          <w:lang w:val="es-ES_tradnl"/>
        </w:rPr>
        <w:t xml:space="preserve">Instituto de las Naciones Unidas para Formación </w:t>
      </w:r>
      <w:r w:rsidR="00ED389B">
        <w:rPr>
          <w:lang w:val="es-ES_tradnl"/>
        </w:rPr>
        <w:t xml:space="preserve">Profesional e Investigaciones, </w:t>
      </w:r>
      <w:r w:rsidR="00ED389B" w:rsidRPr="00BB0A7A">
        <w:rPr>
          <w:lang w:val="es-ES_tradnl"/>
        </w:rPr>
        <w:t>Organización de Cooperación y Desarrollo Económicos</w:t>
      </w:r>
      <w:r w:rsidR="00ED389B">
        <w:rPr>
          <w:lang w:val="es-ES_tradnl"/>
        </w:rPr>
        <w:t xml:space="preserve">, </w:t>
      </w:r>
      <w:r w:rsidR="00ED389B" w:rsidRPr="00BB0A7A">
        <w:rPr>
          <w:lang w:val="es-ES_tradnl"/>
        </w:rPr>
        <w:t>Organización de las Naciones Unidas para el Desarrollo Indust</w:t>
      </w:r>
      <w:r w:rsidR="00ED389B">
        <w:rPr>
          <w:lang w:val="es-ES_tradnl"/>
        </w:rPr>
        <w:t xml:space="preserve">rial, </w:t>
      </w:r>
      <w:r w:rsidR="00ED389B" w:rsidRPr="00BB0A7A">
        <w:rPr>
          <w:lang w:val="es-ES_tradnl"/>
        </w:rPr>
        <w:t>Organización de las Naciones Unidas para la</w:t>
      </w:r>
      <w:r w:rsidR="00ED389B">
        <w:rPr>
          <w:lang w:val="es-ES_tradnl"/>
        </w:rPr>
        <w:t xml:space="preserve"> Alimentación y la Agricultura, </w:t>
      </w:r>
      <w:r w:rsidR="00ED389B" w:rsidRPr="00BB0A7A">
        <w:rPr>
          <w:lang w:val="es-ES_tradnl"/>
        </w:rPr>
        <w:t>Organiza</w:t>
      </w:r>
      <w:r w:rsidR="00ED389B">
        <w:rPr>
          <w:lang w:val="es-ES_tradnl"/>
        </w:rPr>
        <w:t xml:space="preserve">ción Internacional del Trabajo, </w:t>
      </w:r>
      <w:r w:rsidR="00ED389B" w:rsidRPr="00BB0A7A">
        <w:rPr>
          <w:lang w:val="es-ES_tradnl"/>
        </w:rPr>
        <w:t>Organización Mundial de la Salud</w:t>
      </w:r>
      <w:r w:rsidR="00ED389B">
        <w:rPr>
          <w:lang w:val="es-ES_tradnl"/>
        </w:rPr>
        <w:t xml:space="preserve">, </w:t>
      </w:r>
      <w:r w:rsidR="00ED389B" w:rsidRPr="00BB0A7A">
        <w:rPr>
          <w:lang w:val="es-ES_tradnl"/>
        </w:rPr>
        <w:t>Programa de las Nacione</w:t>
      </w:r>
      <w:r w:rsidR="00ED389B">
        <w:rPr>
          <w:lang w:val="es-ES_tradnl"/>
        </w:rPr>
        <w:t>s para el Medio </w:t>
      </w:r>
      <w:r w:rsidR="00ED389B" w:rsidRPr="00BB0A7A">
        <w:rPr>
          <w:lang w:val="es-ES_tradnl"/>
        </w:rPr>
        <w:t>Ambient</w:t>
      </w:r>
      <w:r w:rsidR="00ED389B">
        <w:rPr>
          <w:lang w:val="es-ES_tradnl"/>
        </w:rPr>
        <w:t xml:space="preserve">e, </w:t>
      </w:r>
      <w:r w:rsidR="00ED389B" w:rsidRPr="00BB0A7A">
        <w:rPr>
          <w:lang w:val="es-ES_tradnl"/>
        </w:rPr>
        <w:t>Programa de las Naciones </w:t>
      </w:r>
      <w:r w:rsidR="00ED389B">
        <w:rPr>
          <w:lang w:val="es-ES_tradnl"/>
        </w:rPr>
        <w:t>Unidas para el Desarrollo y.</w:t>
      </w:r>
      <w:r w:rsidR="00ED389B" w:rsidRPr="00ED389B">
        <w:rPr>
          <w:lang w:val="es-ES_tradnl"/>
        </w:rPr>
        <w:t xml:space="preserve"> Sistema de la Integración Centroamericana</w:t>
      </w:r>
      <w:r w:rsidR="00ED389B">
        <w:rPr>
          <w:lang w:val="es-ES_tradnl"/>
        </w:rPr>
        <w:t>.</w:t>
      </w:r>
    </w:p>
    <w:p w:rsidR="008B4EBB" w:rsidRPr="00BB0A7A" w:rsidRDefault="003A1947" w:rsidP="00BD6CE0">
      <w:pPr>
        <w:pStyle w:val="Normalnumber"/>
        <w:numPr>
          <w:ilvl w:val="0"/>
          <w:numId w:val="9"/>
        </w:numPr>
        <w:tabs>
          <w:tab w:val="clear" w:pos="567"/>
          <w:tab w:val="clear" w:pos="1247"/>
          <w:tab w:val="clear" w:pos="1814"/>
          <w:tab w:val="clear" w:pos="2381"/>
          <w:tab w:val="clear" w:pos="2948"/>
          <w:tab w:val="clear" w:pos="3515"/>
        </w:tabs>
        <w:rPr>
          <w:lang w:val="es-ES_tradnl"/>
        </w:rPr>
      </w:pPr>
      <w:r w:rsidRPr="00BB0A7A">
        <w:rPr>
          <w:lang w:val="es-ES_tradnl"/>
        </w:rPr>
        <w:t xml:space="preserve">Las 19 organizaciones no gubernamentales siguientes, entre ellas seis organizaciones del sector privado, cumplimentaron íntegramente los formularios: Mujeres Armenias por la Salud y un Medio Ambiente Saludable, Sindicatos Asociados – Congreso Sindical de Filipinas, </w:t>
      </w:r>
      <w:proofErr w:type="spellStart"/>
      <w:r w:rsidRPr="00BB0A7A">
        <w:rPr>
          <w:lang w:val="es-ES_tradnl"/>
        </w:rPr>
        <w:t>Association</w:t>
      </w:r>
      <w:proofErr w:type="spellEnd"/>
      <w:r w:rsidRPr="00BB0A7A">
        <w:rPr>
          <w:lang w:val="es-ES_tradnl"/>
        </w:rPr>
        <w:t xml:space="preserve"> </w:t>
      </w:r>
      <w:proofErr w:type="spellStart"/>
      <w:r w:rsidRPr="00BB0A7A">
        <w:rPr>
          <w:lang w:val="es-ES_tradnl"/>
        </w:rPr>
        <w:t>d'Education</w:t>
      </w:r>
      <w:proofErr w:type="spellEnd"/>
      <w:r w:rsidRPr="00BB0A7A">
        <w:rPr>
          <w:lang w:val="es-ES_tradnl"/>
        </w:rPr>
        <w:t xml:space="preserve"> </w:t>
      </w:r>
      <w:proofErr w:type="spellStart"/>
      <w:r w:rsidRPr="00BB0A7A">
        <w:rPr>
          <w:lang w:val="es-ES_tradnl"/>
        </w:rPr>
        <w:t>Environnementale</w:t>
      </w:r>
      <w:proofErr w:type="spellEnd"/>
      <w:r w:rsidRPr="00BB0A7A">
        <w:rPr>
          <w:lang w:val="es-ES_tradnl"/>
        </w:rPr>
        <w:t xml:space="preserve"> et de </w:t>
      </w:r>
      <w:proofErr w:type="spellStart"/>
      <w:r w:rsidRPr="00BB0A7A">
        <w:rPr>
          <w:lang w:val="es-ES_tradnl"/>
        </w:rPr>
        <w:t>Protection</w:t>
      </w:r>
      <w:proofErr w:type="spellEnd"/>
      <w:r w:rsidRPr="00BB0A7A">
        <w:rPr>
          <w:lang w:val="es-ES_tradnl"/>
        </w:rPr>
        <w:t xml:space="preserve"> des </w:t>
      </w:r>
      <w:proofErr w:type="spellStart"/>
      <w:r w:rsidRPr="00BB0A7A">
        <w:rPr>
          <w:lang w:val="es-ES_tradnl"/>
        </w:rPr>
        <w:t>Oiseaux</w:t>
      </w:r>
      <w:proofErr w:type="spellEnd"/>
      <w:r w:rsidRPr="00BB0A7A">
        <w:rPr>
          <w:lang w:val="es-ES_tradnl"/>
        </w:rPr>
        <w:t xml:space="preserve"> </w:t>
      </w:r>
      <w:proofErr w:type="spellStart"/>
      <w:r w:rsidRPr="00BB0A7A">
        <w:rPr>
          <w:lang w:val="es-ES_tradnl"/>
        </w:rPr>
        <w:t>au</w:t>
      </w:r>
      <w:proofErr w:type="spellEnd"/>
      <w:r w:rsidRPr="00BB0A7A">
        <w:rPr>
          <w:lang w:val="es-ES_tradnl"/>
        </w:rPr>
        <w:t xml:space="preserve"> </w:t>
      </w:r>
      <w:proofErr w:type="spellStart"/>
      <w:r w:rsidRPr="00BB0A7A">
        <w:rPr>
          <w:lang w:val="es-ES_tradnl"/>
        </w:rPr>
        <w:t>Maroc</w:t>
      </w:r>
      <w:proofErr w:type="spellEnd"/>
      <w:r w:rsidRPr="00BB0A7A">
        <w:rPr>
          <w:lang w:val="es-ES_tradnl"/>
        </w:rPr>
        <w:t xml:space="preserve">, </w:t>
      </w:r>
      <w:proofErr w:type="spellStart"/>
      <w:r w:rsidRPr="00BB0A7A">
        <w:rPr>
          <w:lang w:val="es-ES_tradnl"/>
        </w:rPr>
        <w:t>Sustainable</w:t>
      </w:r>
      <w:proofErr w:type="spellEnd"/>
      <w:r w:rsidRPr="00BB0A7A">
        <w:rPr>
          <w:lang w:val="es-ES_tradnl"/>
        </w:rPr>
        <w:t xml:space="preserve"> </w:t>
      </w:r>
      <w:proofErr w:type="spellStart"/>
      <w:r w:rsidRPr="00BB0A7A">
        <w:rPr>
          <w:lang w:val="es-ES_tradnl"/>
        </w:rPr>
        <w:t>Development</w:t>
      </w:r>
      <w:proofErr w:type="spellEnd"/>
      <w:r w:rsidRPr="00BB0A7A">
        <w:rPr>
          <w:lang w:val="es-ES_tradnl"/>
        </w:rPr>
        <w:t xml:space="preserve"> Network, </w:t>
      </w:r>
      <w:proofErr w:type="spellStart"/>
      <w:r w:rsidRPr="00BB0A7A">
        <w:rPr>
          <w:lang w:val="es-ES_tradnl"/>
        </w:rPr>
        <w:t>Croplife</w:t>
      </w:r>
      <w:proofErr w:type="spellEnd"/>
      <w:r w:rsidRPr="00BB0A7A">
        <w:rPr>
          <w:lang w:val="es-ES_tradnl"/>
        </w:rPr>
        <w:t xml:space="preserve"> International, Instituto de Rehabilitación y Desarrollo del Hospital de Día de El Cairo, Embajadores Ambientales, </w:t>
      </w:r>
      <w:proofErr w:type="spellStart"/>
      <w:r w:rsidRPr="00BB0A7A">
        <w:rPr>
          <w:lang w:val="es-ES_tradnl"/>
        </w:rPr>
        <w:t>Groundwork</w:t>
      </w:r>
      <w:proofErr w:type="spellEnd"/>
      <w:r w:rsidRPr="00BB0A7A">
        <w:rPr>
          <w:lang w:val="es-ES_tradnl"/>
        </w:rPr>
        <w:t xml:space="preserve">, Salud sin Daño, Consejo Internacional de Asociaciones de Fabricantes de Productos Químicos, Consejo Internacional de Minería y Metales, Sociedad Internacional de Médicos para el Medio Ambiente, Confederación Sindical Internacional (CSU), Organización Regional de la CSI para África, New Brunswick </w:t>
      </w:r>
      <w:proofErr w:type="spellStart"/>
      <w:r w:rsidRPr="00BB0A7A">
        <w:rPr>
          <w:lang w:val="es-ES_tradnl"/>
        </w:rPr>
        <w:t>Partners</w:t>
      </w:r>
      <w:proofErr w:type="spellEnd"/>
      <w:r w:rsidRPr="00BB0A7A">
        <w:rPr>
          <w:lang w:val="es-ES_tradnl"/>
        </w:rPr>
        <w:t xml:space="preserve"> in </w:t>
      </w:r>
      <w:proofErr w:type="spellStart"/>
      <w:r w:rsidRPr="00BB0A7A">
        <w:rPr>
          <w:lang w:val="es-ES_tradnl"/>
        </w:rPr>
        <w:t>Agriculture</w:t>
      </w:r>
      <w:proofErr w:type="spellEnd"/>
      <w:r w:rsidRPr="00BB0A7A">
        <w:rPr>
          <w:lang w:val="es-ES_tradnl"/>
        </w:rPr>
        <w:t xml:space="preserve">, </w:t>
      </w:r>
      <w:proofErr w:type="spellStart"/>
      <w:r w:rsidRPr="00BB0A7A">
        <w:rPr>
          <w:lang w:val="es-ES_tradnl"/>
        </w:rPr>
        <w:t>Occupational</w:t>
      </w:r>
      <w:proofErr w:type="spellEnd"/>
      <w:r w:rsidRPr="00BB0A7A">
        <w:rPr>
          <w:lang w:val="es-ES_tradnl"/>
        </w:rPr>
        <w:t xml:space="preserve"> </w:t>
      </w:r>
      <w:proofErr w:type="spellStart"/>
      <w:r w:rsidRPr="00BB0A7A">
        <w:rPr>
          <w:lang w:val="es-ES_tradnl"/>
        </w:rPr>
        <w:t>Knowledge</w:t>
      </w:r>
      <w:proofErr w:type="spellEnd"/>
      <w:r w:rsidRPr="00BB0A7A">
        <w:rPr>
          <w:lang w:val="es-ES_tradnl"/>
        </w:rPr>
        <w:t xml:space="preserve"> International, Red de Acción en Plaguicidas, Sociedad de Toxicología y Química Ambientales y Asociación Turca de Fabricantes Químicos. Las seis organizaciones no gubernamentales siguientes cumplimentaron parcialmente los formularios y enviaron una o más partes: Centre </w:t>
      </w:r>
      <w:proofErr w:type="spellStart"/>
      <w:r w:rsidRPr="00BB0A7A">
        <w:rPr>
          <w:lang w:val="es-ES_tradnl"/>
        </w:rPr>
        <w:t>for</w:t>
      </w:r>
      <w:proofErr w:type="spellEnd"/>
      <w:r w:rsidRPr="00BB0A7A">
        <w:rPr>
          <w:lang w:val="es-ES_tradnl"/>
        </w:rPr>
        <w:t xml:space="preserve"> </w:t>
      </w:r>
      <w:proofErr w:type="spellStart"/>
      <w:r w:rsidRPr="00BB0A7A">
        <w:rPr>
          <w:lang w:val="es-ES_tradnl"/>
        </w:rPr>
        <w:t>Occupational</w:t>
      </w:r>
      <w:proofErr w:type="spellEnd"/>
      <w:r w:rsidRPr="00BB0A7A">
        <w:rPr>
          <w:lang w:val="es-ES_tradnl"/>
        </w:rPr>
        <w:t xml:space="preserve"> and </w:t>
      </w:r>
      <w:proofErr w:type="spellStart"/>
      <w:r w:rsidRPr="00BB0A7A">
        <w:rPr>
          <w:lang w:val="es-ES_tradnl"/>
        </w:rPr>
        <w:t>Environmental</w:t>
      </w:r>
      <w:proofErr w:type="spellEnd"/>
      <w:r w:rsidRPr="00BB0A7A">
        <w:rPr>
          <w:lang w:val="es-ES_tradnl"/>
        </w:rPr>
        <w:t xml:space="preserve"> </w:t>
      </w:r>
      <w:proofErr w:type="spellStart"/>
      <w:r w:rsidRPr="00BB0A7A">
        <w:rPr>
          <w:lang w:val="es-ES_tradnl"/>
        </w:rPr>
        <w:t>Health</w:t>
      </w:r>
      <w:proofErr w:type="spellEnd"/>
      <w:r w:rsidRPr="00BB0A7A">
        <w:rPr>
          <w:lang w:val="es-ES_tradnl"/>
        </w:rPr>
        <w:t xml:space="preserve"> (</w:t>
      </w:r>
      <w:proofErr w:type="spellStart"/>
      <w:r w:rsidRPr="00BB0A7A">
        <w:rPr>
          <w:lang w:val="es-ES_tradnl"/>
        </w:rPr>
        <w:t>University</w:t>
      </w:r>
      <w:proofErr w:type="spellEnd"/>
      <w:r w:rsidRPr="00BB0A7A">
        <w:rPr>
          <w:lang w:val="es-ES_tradnl"/>
        </w:rPr>
        <w:t xml:space="preserve"> of Cape Town), Centro de Investigación y Educación para el Desarrollo, </w:t>
      </w:r>
      <w:proofErr w:type="spellStart"/>
      <w:r w:rsidRPr="00BB0A7A">
        <w:rPr>
          <w:lang w:val="es-ES_tradnl"/>
        </w:rPr>
        <w:t>Golan</w:t>
      </w:r>
      <w:proofErr w:type="spellEnd"/>
      <w:r w:rsidRPr="00BB0A7A">
        <w:rPr>
          <w:lang w:val="es-ES_tradnl"/>
        </w:rPr>
        <w:t xml:space="preserve"> </w:t>
      </w:r>
      <w:proofErr w:type="spellStart"/>
      <w:r w:rsidRPr="00BB0A7A">
        <w:rPr>
          <w:lang w:val="es-ES_tradnl"/>
        </w:rPr>
        <w:t>Environment</w:t>
      </w:r>
      <w:proofErr w:type="spellEnd"/>
      <w:r w:rsidRPr="00BB0A7A">
        <w:rPr>
          <w:lang w:val="es-ES_tradnl"/>
        </w:rPr>
        <w:t xml:space="preserve"> &amp; </w:t>
      </w:r>
      <w:proofErr w:type="spellStart"/>
      <w:r w:rsidRPr="00BB0A7A">
        <w:rPr>
          <w:lang w:val="es-ES_tradnl"/>
        </w:rPr>
        <w:t>Heritage</w:t>
      </w:r>
      <w:proofErr w:type="spellEnd"/>
      <w:r w:rsidRPr="00BB0A7A">
        <w:rPr>
          <w:lang w:val="es-ES_tradnl"/>
        </w:rPr>
        <w:t xml:space="preserve"> </w:t>
      </w:r>
      <w:proofErr w:type="spellStart"/>
      <w:r w:rsidRPr="00BB0A7A">
        <w:rPr>
          <w:lang w:val="es-ES_tradnl"/>
        </w:rPr>
        <w:t>Association</w:t>
      </w:r>
      <w:proofErr w:type="spellEnd"/>
      <w:r w:rsidRPr="00BB0A7A">
        <w:rPr>
          <w:lang w:val="es-ES_tradnl"/>
        </w:rPr>
        <w:t xml:space="preserve">, Unión Internacional de Toxicología y Asociación </w:t>
      </w:r>
      <w:proofErr w:type="spellStart"/>
      <w:r w:rsidRPr="00BB0A7A">
        <w:rPr>
          <w:lang w:val="es-ES_tradnl"/>
        </w:rPr>
        <w:t>Euromediterránea</w:t>
      </w:r>
      <w:proofErr w:type="spellEnd"/>
      <w:r w:rsidRPr="00BB0A7A">
        <w:rPr>
          <w:lang w:val="es-ES_tradnl"/>
        </w:rPr>
        <w:t xml:space="preserve"> para el Desarrollo Sostenible.</w:t>
      </w:r>
    </w:p>
    <w:p w:rsidR="008B4EBB" w:rsidRPr="00BB0A7A" w:rsidRDefault="008B4EBB">
      <w:pPr>
        <w:spacing w:after="0" w:line="240" w:lineRule="auto"/>
        <w:rPr>
          <w:rFonts w:ascii="Times New Roman" w:eastAsia="Times New Roman" w:hAnsi="Times New Roman" w:cs="Times New Roman"/>
          <w:sz w:val="20"/>
          <w:szCs w:val="20"/>
          <w:lang w:val="es-ES_tradnl"/>
        </w:rPr>
      </w:pPr>
      <w:r w:rsidRPr="00BB0A7A">
        <w:rPr>
          <w:lang w:val="es-ES_tradnl"/>
        </w:rPr>
        <w:br w:type="page"/>
      </w:r>
    </w:p>
    <w:p w:rsidR="003A1947" w:rsidRPr="00BB0A7A" w:rsidRDefault="003A1947" w:rsidP="00F01599">
      <w:pPr>
        <w:pStyle w:val="ZZAnxheader"/>
        <w:rPr>
          <w:lang w:val="es-ES_tradnl"/>
        </w:rPr>
      </w:pPr>
      <w:r w:rsidRPr="00BB0A7A">
        <w:rPr>
          <w:lang w:val="es-ES_tradnl"/>
        </w:rPr>
        <w:t>Apéndice II</w:t>
      </w:r>
    </w:p>
    <w:p w:rsidR="003A1947" w:rsidRPr="00BB0A7A" w:rsidRDefault="003A1947" w:rsidP="00452CD6">
      <w:pPr>
        <w:pStyle w:val="ZZAnxtitle"/>
        <w:spacing w:before="320" w:after="240"/>
        <w:rPr>
          <w:rFonts w:eastAsia="MS Mincho"/>
          <w:lang w:val="es-ES_tradnl"/>
        </w:rPr>
      </w:pPr>
      <w:r w:rsidRPr="00BB0A7A">
        <w:rPr>
          <w:lang w:val="es-ES_tradnl"/>
        </w:rPr>
        <w:t>Lista de indicadores para notificar progresos en la aplicaci</w:t>
      </w:r>
      <w:r w:rsidR="009A399B" w:rsidRPr="00BB0A7A">
        <w:rPr>
          <w:lang w:val="es-ES_tradnl"/>
        </w:rPr>
        <w:t xml:space="preserve">ón del Enfoque Estratégico y </w:t>
      </w:r>
      <w:r w:rsidRPr="00BB0A7A">
        <w:rPr>
          <w:lang w:val="es-ES_tradnl"/>
        </w:rPr>
        <w:t>los correspondientes elementos básicos de la orientación y las directrices generales</w:t>
      </w:r>
    </w:p>
    <w:p w:rsidR="003A1947" w:rsidRPr="008F4A74" w:rsidRDefault="003A1947" w:rsidP="008F4A74">
      <w:pPr>
        <w:pStyle w:val="Style1"/>
        <w:ind w:firstLine="624"/>
        <w:rPr>
          <w:b w:val="0"/>
          <w:i/>
        </w:rPr>
      </w:pPr>
      <w:r w:rsidRPr="008F4A74">
        <w:rPr>
          <w:b w:val="0"/>
          <w:i/>
        </w:rPr>
        <w:t>En su segundo período de sesiones, celebrado en mayo de 2009, la Conferencia Internacional sobre Gestión de los Productos Químicos aprobó los 20 indi</w:t>
      </w:r>
      <w:r w:rsidR="00A04810" w:rsidRPr="008F4A74">
        <w:rPr>
          <w:b w:val="0"/>
          <w:i/>
        </w:rPr>
        <w:t>cadores siguientes (SAICM/ICCM.</w:t>
      </w:r>
      <w:r w:rsidR="00B85ACC" w:rsidRPr="008F4A74">
        <w:rPr>
          <w:b w:val="0"/>
          <w:i/>
        </w:rPr>
        <w:t>2/15), anexo </w:t>
      </w:r>
      <w:r w:rsidRPr="008F4A74">
        <w:rPr>
          <w:b w:val="0"/>
          <w:i/>
        </w:rPr>
        <w:t>III.</w:t>
      </w:r>
    </w:p>
    <w:tbl>
      <w:tblPr>
        <w:tblW w:w="9747" w:type="dxa"/>
        <w:tblLayout w:type="fixed"/>
        <w:tblLook w:val="04A0" w:firstRow="1" w:lastRow="0" w:firstColumn="1" w:lastColumn="0" w:noHBand="0" w:noVBand="1"/>
      </w:tblPr>
      <w:tblGrid>
        <w:gridCol w:w="1809"/>
        <w:gridCol w:w="5671"/>
        <w:gridCol w:w="2267"/>
      </w:tblGrid>
      <w:tr w:rsidR="003A1947" w:rsidRPr="00BB0A7A" w:rsidTr="0058788B">
        <w:trPr>
          <w:trHeight w:val="393"/>
          <w:tblHeader/>
        </w:trPr>
        <w:tc>
          <w:tcPr>
            <w:tcW w:w="1809" w:type="dxa"/>
            <w:tcBorders>
              <w:top w:val="single" w:sz="4" w:space="0" w:color="auto"/>
              <w:bottom w:val="single" w:sz="12" w:space="0" w:color="auto"/>
            </w:tcBorders>
            <w:vAlign w:val="center"/>
          </w:tcPr>
          <w:p w:rsidR="003A1947" w:rsidRPr="00BB0A7A" w:rsidRDefault="003A1947" w:rsidP="0058788B">
            <w:pPr>
              <w:spacing w:after="60" w:line="240" w:lineRule="auto"/>
              <w:rPr>
                <w:rFonts w:ascii="Times New Roman" w:hAnsi="Times New Roman" w:cs="Times New Roman"/>
                <w:i/>
                <w:sz w:val="18"/>
                <w:szCs w:val="18"/>
                <w:lang w:val="es-ES_tradnl"/>
              </w:rPr>
            </w:pPr>
            <w:r w:rsidRPr="00BB0A7A">
              <w:rPr>
                <w:rFonts w:ascii="Times New Roman" w:hAnsi="Times New Roman"/>
                <w:i/>
                <w:sz w:val="18"/>
                <w:lang w:val="es-ES_tradnl"/>
              </w:rPr>
              <w:t>Objetivo del Enfoque Estratégico</w:t>
            </w:r>
          </w:p>
        </w:tc>
        <w:tc>
          <w:tcPr>
            <w:tcW w:w="5671" w:type="dxa"/>
            <w:tcBorders>
              <w:top w:val="single" w:sz="4" w:space="0" w:color="auto"/>
              <w:bottom w:val="single" w:sz="12" w:space="0" w:color="auto"/>
            </w:tcBorders>
            <w:shd w:val="clear" w:color="auto" w:fill="auto"/>
            <w:vAlign w:val="center"/>
          </w:tcPr>
          <w:p w:rsidR="003A1947" w:rsidRPr="00BB0A7A" w:rsidRDefault="00693B46" w:rsidP="0058788B">
            <w:pPr>
              <w:spacing w:after="60" w:line="240" w:lineRule="auto"/>
              <w:rPr>
                <w:rFonts w:ascii="Times New Roman" w:hAnsi="Times New Roman" w:cs="Times New Roman"/>
                <w:i/>
                <w:sz w:val="18"/>
                <w:szCs w:val="18"/>
                <w:lang w:val="es-ES_tradnl"/>
              </w:rPr>
            </w:pPr>
            <w:r w:rsidRPr="00BB0A7A">
              <w:rPr>
                <w:rFonts w:ascii="Times New Roman" w:hAnsi="Times New Roman"/>
                <w:i/>
                <w:sz w:val="18"/>
                <w:lang w:val="es-ES_tradnl"/>
              </w:rPr>
              <w:t>Indicador de progreso</w:t>
            </w:r>
          </w:p>
        </w:tc>
        <w:tc>
          <w:tcPr>
            <w:tcW w:w="2267" w:type="dxa"/>
            <w:tcBorders>
              <w:top w:val="single" w:sz="4" w:space="0" w:color="auto"/>
              <w:bottom w:val="single" w:sz="12" w:space="0" w:color="auto"/>
            </w:tcBorders>
            <w:shd w:val="clear" w:color="auto" w:fill="auto"/>
            <w:vAlign w:val="center"/>
          </w:tcPr>
          <w:p w:rsidR="003A1947" w:rsidRPr="00BB0A7A" w:rsidRDefault="003A1947" w:rsidP="0058788B">
            <w:pPr>
              <w:spacing w:after="60" w:line="240" w:lineRule="auto"/>
              <w:rPr>
                <w:rFonts w:ascii="Times New Roman" w:hAnsi="Times New Roman" w:cs="Times New Roman"/>
                <w:i/>
                <w:sz w:val="18"/>
                <w:szCs w:val="18"/>
                <w:lang w:val="es-ES_tradnl"/>
              </w:rPr>
            </w:pPr>
            <w:r w:rsidRPr="00BB0A7A">
              <w:rPr>
                <w:rFonts w:ascii="Times New Roman" w:hAnsi="Times New Roman"/>
                <w:i/>
                <w:sz w:val="18"/>
                <w:lang w:val="es-ES_tradnl"/>
              </w:rPr>
              <w:t>Elemento básico</w:t>
            </w:r>
          </w:p>
        </w:tc>
      </w:tr>
      <w:tr w:rsidR="003A1947" w:rsidRPr="009337B3" w:rsidTr="0084220B">
        <w:trPr>
          <w:trHeight w:val="454"/>
        </w:trPr>
        <w:tc>
          <w:tcPr>
            <w:tcW w:w="1809" w:type="dxa"/>
            <w:vMerge w:val="restart"/>
            <w:tcBorders>
              <w:top w:val="single" w:sz="12" w:space="0" w:color="auto"/>
            </w:tcBorders>
          </w:tcPr>
          <w:p w:rsidR="003A1947" w:rsidRPr="00BB0A7A" w:rsidRDefault="00A04810" w:rsidP="0058788B">
            <w:pPr>
              <w:spacing w:after="120" w:line="240" w:lineRule="auto"/>
              <w:ind w:left="-43"/>
              <w:rPr>
                <w:rFonts w:ascii="Times New Roman" w:hAnsi="Times New Roman" w:cs="Times New Roman"/>
                <w:sz w:val="18"/>
                <w:szCs w:val="18"/>
                <w:lang w:val="es-ES_tradnl"/>
              </w:rPr>
            </w:pPr>
            <w:r w:rsidRPr="00BB0A7A">
              <w:rPr>
                <w:rFonts w:ascii="Times New Roman" w:hAnsi="Times New Roman"/>
                <w:sz w:val="18"/>
                <w:lang w:val="es-ES_tradnl"/>
              </w:rPr>
              <w:t>A. Reducción de los </w:t>
            </w:r>
            <w:r w:rsidR="003A1947" w:rsidRPr="00BB0A7A">
              <w:rPr>
                <w:rFonts w:ascii="Times New Roman" w:hAnsi="Times New Roman"/>
                <w:sz w:val="18"/>
                <w:lang w:val="es-ES_tradnl"/>
              </w:rPr>
              <w:t>riesgos</w:t>
            </w:r>
          </w:p>
        </w:tc>
        <w:tc>
          <w:tcPr>
            <w:tcW w:w="5671" w:type="dxa"/>
            <w:tcBorders>
              <w:top w:val="single" w:sz="12" w:space="0" w:color="auto"/>
            </w:tcBorders>
            <w:shd w:val="clear" w:color="auto" w:fill="auto"/>
          </w:tcPr>
          <w:p w:rsidR="003A1947" w:rsidRPr="00BB0A7A" w:rsidRDefault="003A1947" w:rsidP="0084220B">
            <w:pPr>
              <w:numPr>
                <w:ilvl w:val="0"/>
                <w:numId w:val="6"/>
              </w:numPr>
              <w:spacing w:after="0" w:line="240" w:lineRule="auto"/>
              <w:ind w:left="318" w:hanging="318"/>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aplican los instrumentos de gestión de productos químicos acordados</w:t>
            </w:r>
          </w:p>
        </w:tc>
        <w:tc>
          <w:tcPr>
            <w:tcW w:w="2267" w:type="dxa"/>
            <w:tcBorders>
              <w:top w:val="single" w:sz="12" w:space="0" w:color="auto"/>
            </w:tcBorders>
            <w:shd w:val="clear" w:color="auto" w:fill="auto"/>
          </w:tcPr>
          <w:p w:rsidR="003A1947" w:rsidRPr="00BB0A7A" w:rsidRDefault="00C41029"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VIII: Evaluación de l</w:t>
            </w:r>
            <w:r w:rsidR="00B77933">
              <w:rPr>
                <w:rFonts w:ascii="Times New Roman" w:hAnsi="Times New Roman"/>
                <w:sz w:val="18"/>
                <w:lang w:val="es-ES_tradnl"/>
              </w:rPr>
              <w:t>os riesgos y uso de las mejores </w:t>
            </w:r>
            <w:r w:rsidRPr="00BB0A7A">
              <w:rPr>
                <w:rFonts w:ascii="Times New Roman" w:hAnsi="Times New Roman"/>
                <w:sz w:val="18"/>
                <w:lang w:val="es-ES_tradnl"/>
              </w:rPr>
              <w:t>prácticas</w:t>
            </w:r>
          </w:p>
        </w:tc>
      </w:tr>
      <w:tr w:rsidR="003A1947" w:rsidRPr="009337B3">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8" w:hanging="318"/>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tienen mecanismos para ocuparse de las principales categorías de productos químicos</w:t>
            </w:r>
          </w:p>
        </w:tc>
        <w:tc>
          <w:tcPr>
            <w:tcW w:w="2267" w:type="dxa"/>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p>
        </w:tc>
      </w:tr>
      <w:tr w:rsidR="003A1947" w:rsidRPr="00BB0A7A">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8" w:hanging="318"/>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han puesto en práctica mecanismos de gestión de desechos peligrosos</w:t>
            </w:r>
          </w:p>
        </w:tc>
        <w:tc>
          <w:tcPr>
            <w:tcW w:w="2267" w:type="dxa"/>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I: Marcos jurídicos</w:t>
            </w:r>
          </w:p>
        </w:tc>
      </w:tr>
      <w:tr w:rsidR="003A1947" w:rsidRPr="009337B3">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8" w:hanging="318"/>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realizan actividades que producen datos de vigilancia en relación con determinadas sustancias prioritarias que afectan al medio ambiente y la salud humana</w:t>
            </w:r>
          </w:p>
        </w:tc>
        <w:tc>
          <w:tcPr>
            <w:tcW w:w="2267" w:type="dxa"/>
            <w:shd w:val="clear" w:color="auto" w:fill="auto"/>
          </w:tcPr>
          <w:p w:rsidR="003A1947" w:rsidRPr="00BB0A7A" w:rsidRDefault="00C41029"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 xml:space="preserve">X: Vigilancia de los </w:t>
            </w:r>
            <w:r w:rsidR="00B77933">
              <w:rPr>
                <w:rFonts w:ascii="Times New Roman" w:hAnsi="Times New Roman"/>
                <w:sz w:val="18"/>
                <w:lang w:val="es-ES_tradnl"/>
              </w:rPr>
              <w:t>efectos en la salud humana y el </w:t>
            </w:r>
            <w:r w:rsidRPr="00BB0A7A">
              <w:rPr>
                <w:rFonts w:ascii="Times New Roman" w:hAnsi="Times New Roman"/>
                <w:sz w:val="18"/>
                <w:lang w:val="es-ES_tradnl"/>
              </w:rPr>
              <w:t>medio ambiente</w:t>
            </w:r>
          </w:p>
        </w:tc>
      </w:tr>
      <w:tr w:rsidR="003A1947" w:rsidRPr="009337B3">
        <w:tc>
          <w:tcPr>
            <w:tcW w:w="1809" w:type="dxa"/>
            <w:vMerge/>
            <w:tcBorders>
              <w:bottom w:val="single" w:sz="4" w:space="0" w:color="auto"/>
            </w:tcBorders>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tcBorders>
              <w:bottom w:val="single" w:sz="4" w:space="0" w:color="auto"/>
            </w:tcBorders>
            <w:shd w:val="clear" w:color="auto" w:fill="auto"/>
          </w:tcPr>
          <w:p w:rsidR="003A1947" w:rsidRPr="00BB0A7A" w:rsidRDefault="003A1947" w:rsidP="0058788B">
            <w:pPr>
              <w:numPr>
                <w:ilvl w:val="0"/>
                <w:numId w:val="6"/>
              </w:numPr>
              <w:spacing w:after="60" w:line="240" w:lineRule="auto"/>
              <w:ind w:left="318" w:hanging="318"/>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han implantado mecanismos para establecer prioridades en relación con la reducción de los riesgos</w:t>
            </w:r>
          </w:p>
        </w:tc>
        <w:tc>
          <w:tcPr>
            <w:tcW w:w="2267" w:type="dxa"/>
            <w:tcBorders>
              <w:bottom w:val="single" w:sz="4" w:space="0" w:color="auto"/>
            </w:tcBorders>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p>
        </w:tc>
      </w:tr>
      <w:tr w:rsidR="003A1947" w:rsidRPr="00BB0A7A">
        <w:trPr>
          <w:trHeight w:val="427"/>
        </w:trPr>
        <w:tc>
          <w:tcPr>
            <w:tcW w:w="1809" w:type="dxa"/>
            <w:vMerge w:val="restart"/>
            <w:tcBorders>
              <w:top w:val="single" w:sz="4" w:space="0" w:color="auto"/>
            </w:tcBorders>
          </w:tcPr>
          <w:p w:rsidR="003A1947" w:rsidRPr="00BB0A7A" w:rsidRDefault="008B4EBB" w:rsidP="0058788B">
            <w:pPr>
              <w:spacing w:after="120" w:line="240" w:lineRule="auto"/>
              <w:ind w:left="-43"/>
              <w:rPr>
                <w:rFonts w:ascii="Times New Roman" w:hAnsi="Times New Roman" w:cs="Times New Roman"/>
                <w:sz w:val="18"/>
                <w:szCs w:val="18"/>
                <w:lang w:val="es-ES_tradnl"/>
              </w:rPr>
            </w:pPr>
            <w:r w:rsidRPr="00BB0A7A">
              <w:rPr>
                <w:rFonts w:ascii="Times New Roman" w:hAnsi="Times New Roman"/>
                <w:sz w:val="18"/>
                <w:lang w:val="es-ES_tradnl"/>
              </w:rPr>
              <w:t>B. Conocimientos e </w:t>
            </w:r>
            <w:r w:rsidR="003A1947" w:rsidRPr="00BB0A7A">
              <w:rPr>
                <w:rFonts w:ascii="Times New Roman" w:hAnsi="Times New Roman"/>
                <w:sz w:val="18"/>
                <w:lang w:val="es-ES_tradnl"/>
              </w:rPr>
              <w:t>información</w:t>
            </w:r>
          </w:p>
        </w:tc>
        <w:tc>
          <w:tcPr>
            <w:tcW w:w="5671" w:type="dxa"/>
            <w:tcBorders>
              <w:top w:val="single" w:sz="4" w:space="0" w:color="auto"/>
            </w:tcBorders>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suministran información de conformidad con las normas internacionalmente armonizadas</w:t>
            </w:r>
          </w:p>
        </w:tc>
        <w:tc>
          <w:tcPr>
            <w:tcW w:w="2267" w:type="dxa"/>
            <w:tcBorders>
              <w:top w:val="single" w:sz="4" w:space="0" w:color="auto"/>
            </w:tcBorders>
            <w:shd w:val="clear" w:color="auto" w:fill="auto"/>
          </w:tcPr>
          <w:p w:rsidR="003A1947" w:rsidRPr="00BB0A7A" w:rsidRDefault="00C41029"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V: S</w:t>
            </w:r>
            <w:r w:rsidR="00A4017B" w:rsidRPr="00BB0A7A">
              <w:rPr>
                <w:rFonts w:ascii="Times New Roman" w:hAnsi="Times New Roman"/>
                <w:sz w:val="18"/>
                <w:lang w:val="es-ES_tradnl"/>
              </w:rPr>
              <w:t xml:space="preserve">istema </w:t>
            </w:r>
            <w:r w:rsidRPr="00BB0A7A">
              <w:rPr>
                <w:rFonts w:ascii="Times New Roman" w:hAnsi="Times New Roman"/>
                <w:sz w:val="18"/>
                <w:lang w:val="es-ES_tradnl"/>
              </w:rPr>
              <w:t>M</w:t>
            </w:r>
            <w:r w:rsidR="00A4017B" w:rsidRPr="00BB0A7A">
              <w:rPr>
                <w:rFonts w:ascii="Times New Roman" w:hAnsi="Times New Roman"/>
                <w:sz w:val="18"/>
                <w:lang w:val="es-ES_tradnl"/>
              </w:rPr>
              <w:t xml:space="preserve">undialmente </w:t>
            </w:r>
            <w:r w:rsidRPr="00BB0A7A">
              <w:rPr>
                <w:rFonts w:ascii="Times New Roman" w:hAnsi="Times New Roman"/>
                <w:sz w:val="18"/>
                <w:lang w:val="es-ES_tradnl"/>
              </w:rPr>
              <w:t>A</w:t>
            </w:r>
            <w:r w:rsidR="00A4017B" w:rsidRPr="00BB0A7A">
              <w:rPr>
                <w:rFonts w:ascii="Times New Roman" w:hAnsi="Times New Roman"/>
                <w:sz w:val="18"/>
                <w:lang w:val="es-ES_tradnl"/>
              </w:rPr>
              <w:t>rmonizado</w:t>
            </w:r>
          </w:p>
        </w:tc>
      </w:tr>
      <w:tr w:rsidR="003A1947" w:rsidRPr="009337B3">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han puesto en práctica estrategias espe</w:t>
            </w:r>
            <w:r w:rsidR="009A399B" w:rsidRPr="00BB0A7A">
              <w:rPr>
                <w:rFonts w:ascii="Times New Roman" w:hAnsi="Times New Roman"/>
                <w:sz w:val="18"/>
                <w:lang w:val="es-ES_tradnl"/>
              </w:rPr>
              <w:t>cíficas para informar</w:t>
            </w:r>
            <w:r w:rsidRPr="00BB0A7A">
              <w:rPr>
                <w:rFonts w:ascii="Times New Roman" w:hAnsi="Times New Roman"/>
                <w:sz w:val="18"/>
                <w:lang w:val="es-ES_tradnl"/>
              </w:rPr>
              <w:t xml:space="preserve"> sobre los riesgos que entrañan los productos químicos para los grupos vulnerables</w:t>
            </w:r>
          </w:p>
        </w:tc>
        <w:tc>
          <w:tcPr>
            <w:tcW w:w="2267" w:type="dxa"/>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V: Interc</w:t>
            </w:r>
            <w:r w:rsidR="00B77933">
              <w:rPr>
                <w:rFonts w:ascii="Times New Roman" w:hAnsi="Times New Roman"/>
                <w:sz w:val="18"/>
                <w:lang w:val="es-ES_tradnl"/>
              </w:rPr>
              <w:t>ambio de datos e </w:t>
            </w:r>
            <w:r w:rsidRPr="00BB0A7A">
              <w:rPr>
                <w:rFonts w:ascii="Times New Roman" w:hAnsi="Times New Roman"/>
                <w:sz w:val="18"/>
                <w:lang w:val="es-ES_tradnl"/>
              </w:rPr>
              <w:t>información</w:t>
            </w:r>
          </w:p>
        </w:tc>
      </w:tr>
      <w:tr w:rsidR="003A1947" w:rsidRPr="009337B3">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cuentan con programas de investigación</w:t>
            </w:r>
          </w:p>
        </w:tc>
        <w:tc>
          <w:tcPr>
            <w:tcW w:w="2267" w:type="dxa"/>
            <w:shd w:val="clear" w:color="auto" w:fill="auto"/>
          </w:tcPr>
          <w:p w:rsidR="003A1947" w:rsidRPr="00BB0A7A" w:rsidRDefault="00C41029"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 xml:space="preserve">X: Vigilancia de los </w:t>
            </w:r>
            <w:r w:rsidR="00B77933">
              <w:rPr>
                <w:rFonts w:ascii="Times New Roman" w:hAnsi="Times New Roman"/>
                <w:sz w:val="18"/>
                <w:lang w:val="es-ES_tradnl"/>
              </w:rPr>
              <w:t>efectos en la salud humana y el </w:t>
            </w:r>
            <w:r w:rsidRPr="00BB0A7A">
              <w:rPr>
                <w:rFonts w:ascii="Times New Roman" w:hAnsi="Times New Roman"/>
                <w:sz w:val="18"/>
                <w:lang w:val="es-ES_tradnl"/>
              </w:rPr>
              <w:t>medio ambiente</w:t>
            </w:r>
          </w:p>
        </w:tc>
      </w:tr>
      <w:tr w:rsidR="003A1947" w:rsidRPr="009337B3">
        <w:tc>
          <w:tcPr>
            <w:tcW w:w="1809" w:type="dxa"/>
            <w:vMerge/>
            <w:tcBorders>
              <w:bottom w:val="single" w:sz="4" w:space="0" w:color="auto"/>
            </w:tcBorders>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tcBorders>
              <w:bottom w:val="single" w:sz="4" w:space="0" w:color="auto"/>
            </w:tcBorders>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tienen sitios web en los que los interesados pueden obtener información</w:t>
            </w:r>
          </w:p>
        </w:tc>
        <w:tc>
          <w:tcPr>
            <w:tcW w:w="2267" w:type="dxa"/>
            <w:tcBorders>
              <w:bottom w:val="single" w:sz="4" w:space="0" w:color="auto"/>
            </w:tcBorders>
            <w:shd w:val="clear" w:color="auto" w:fill="auto"/>
          </w:tcPr>
          <w:p w:rsidR="003A1947" w:rsidRPr="00BB0A7A" w:rsidRDefault="00B77933" w:rsidP="0058788B">
            <w:pPr>
              <w:spacing w:after="60" w:line="240" w:lineRule="auto"/>
              <w:rPr>
                <w:rFonts w:ascii="Times New Roman" w:hAnsi="Times New Roman" w:cs="Times New Roman"/>
                <w:sz w:val="18"/>
                <w:szCs w:val="18"/>
                <w:lang w:val="es-ES_tradnl"/>
              </w:rPr>
            </w:pPr>
            <w:r>
              <w:rPr>
                <w:rFonts w:ascii="Times New Roman" w:hAnsi="Times New Roman"/>
                <w:sz w:val="18"/>
                <w:lang w:val="es-ES_tradnl"/>
              </w:rPr>
              <w:t>V: Intercambio de datos e </w:t>
            </w:r>
            <w:r w:rsidR="003A1947" w:rsidRPr="00BB0A7A">
              <w:rPr>
                <w:rFonts w:ascii="Times New Roman" w:hAnsi="Times New Roman"/>
                <w:sz w:val="18"/>
                <w:lang w:val="es-ES_tradnl"/>
              </w:rPr>
              <w:t>información</w:t>
            </w:r>
          </w:p>
        </w:tc>
      </w:tr>
      <w:tr w:rsidR="003A1947" w:rsidRPr="009337B3">
        <w:tc>
          <w:tcPr>
            <w:tcW w:w="1809" w:type="dxa"/>
            <w:vMerge w:val="restart"/>
            <w:tcBorders>
              <w:top w:val="single" w:sz="4" w:space="0" w:color="auto"/>
            </w:tcBorders>
          </w:tcPr>
          <w:p w:rsidR="003A1947" w:rsidRPr="00BB0A7A" w:rsidRDefault="003A1947" w:rsidP="0058788B">
            <w:pPr>
              <w:spacing w:after="120" w:line="240" w:lineRule="auto"/>
              <w:ind w:left="-43"/>
              <w:rPr>
                <w:rFonts w:ascii="Times New Roman" w:hAnsi="Times New Roman" w:cs="Times New Roman"/>
                <w:sz w:val="18"/>
                <w:szCs w:val="18"/>
                <w:lang w:val="es-ES_tradnl"/>
              </w:rPr>
            </w:pPr>
            <w:r w:rsidRPr="00BB0A7A">
              <w:rPr>
                <w:rFonts w:ascii="Times New Roman" w:hAnsi="Times New Roman"/>
                <w:sz w:val="18"/>
                <w:lang w:val="es-ES_tradnl"/>
              </w:rPr>
              <w:t>C. Gobernanza</w:t>
            </w:r>
          </w:p>
        </w:tc>
        <w:tc>
          <w:tcPr>
            <w:tcW w:w="5671" w:type="dxa"/>
            <w:tcBorders>
              <w:top w:val="single" w:sz="4" w:space="0" w:color="auto"/>
            </w:tcBorders>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se han comprometido a aplicar el Enfoque Estratégico</w:t>
            </w:r>
          </w:p>
        </w:tc>
        <w:tc>
          <w:tcPr>
            <w:tcW w:w="2267" w:type="dxa"/>
            <w:tcBorders>
              <w:top w:val="single" w:sz="4" w:space="0" w:color="auto"/>
            </w:tcBorders>
            <w:shd w:val="clear" w:color="auto" w:fill="auto"/>
          </w:tcPr>
          <w:p w:rsidR="003A1947" w:rsidRPr="00BB0A7A" w:rsidRDefault="003A1947" w:rsidP="00B77933">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IV: Marcos institucionales y</w:t>
            </w:r>
            <w:r w:rsidR="00B77933">
              <w:rPr>
                <w:rFonts w:ascii="Times New Roman" w:hAnsi="Times New Roman"/>
                <w:sz w:val="18"/>
                <w:lang w:val="es-ES_tradnl"/>
              </w:rPr>
              <w:t> </w:t>
            </w:r>
            <w:r w:rsidRPr="00BB0A7A">
              <w:rPr>
                <w:rFonts w:ascii="Times New Roman" w:hAnsi="Times New Roman"/>
                <w:sz w:val="18"/>
                <w:lang w:val="es-ES_tradnl"/>
              </w:rPr>
              <w:t>coordinación</w:t>
            </w:r>
          </w:p>
        </w:tc>
      </w:tr>
      <w:tr w:rsidR="003A1947" w:rsidRPr="009337B3">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cuentan con mecanismos de coordinación de múltiples interesados</w:t>
            </w:r>
          </w:p>
        </w:tc>
        <w:tc>
          <w:tcPr>
            <w:tcW w:w="2267" w:type="dxa"/>
            <w:shd w:val="clear" w:color="auto" w:fill="auto"/>
          </w:tcPr>
          <w:p w:rsidR="003A1947" w:rsidRPr="00BB0A7A" w:rsidRDefault="00B77933" w:rsidP="0058788B">
            <w:pPr>
              <w:spacing w:after="60" w:line="240" w:lineRule="auto"/>
              <w:rPr>
                <w:rFonts w:ascii="Times New Roman" w:hAnsi="Times New Roman" w:cs="Times New Roman"/>
                <w:sz w:val="18"/>
                <w:szCs w:val="18"/>
                <w:lang w:val="es-ES_tradnl"/>
              </w:rPr>
            </w:pPr>
            <w:r>
              <w:rPr>
                <w:rFonts w:ascii="Times New Roman" w:hAnsi="Times New Roman"/>
                <w:sz w:val="18"/>
                <w:lang w:val="es-ES_tradnl"/>
              </w:rPr>
              <w:t>IV: Marcos institucionales y </w:t>
            </w:r>
            <w:r w:rsidR="003A1947" w:rsidRPr="00BB0A7A">
              <w:rPr>
                <w:rFonts w:ascii="Times New Roman" w:hAnsi="Times New Roman"/>
                <w:sz w:val="18"/>
                <w:lang w:val="es-ES_tradnl"/>
              </w:rPr>
              <w:t>coordinación</w:t>
            </w:r>
          </w:p>
          <w:p w:rsidR="003A1947" w:rsidRPr="00BB0A7A" w:rsidRDefault="00B77933" w:rsidP="0058788B">
            <w:pPr>
              <w:spacing w:after="60" w:line="240" w:lineRule="auto"/>
              <w:rPr>
                <w:rFonts w:ascii="Times New Roman" w:hAnsi="Times New Roman" w:cs="Times New Roman"/>
                <w:sz w:val="18"/>
                <w:szCs w:val="18"/>
                <w:lang w:val="es-ES_tradnl"/>
              </w:rPr>
            </w:pPr>
            <w:r>
              <w:rPr>
                <w:rFonts w:ascii="Times New Roman" w:hAnsi="Times New Roman"/>
                <w:sz w:val="18"/>
                <w:lang w:val="es-ES_tradnl"/>
              </w:rPr>
              <w:t>VI: Participación de la </w:t>
            </w:r>
            <w:r w:rsidR="003A1947" w:rsidRPr="00BB0A7A">
              <w:rPr>
                <w:rFonts w:ascii="Times New Roman" w:hAnsi="Times New Roman"/>
                <w:sz w:val="18"/>
                <w:lang w:val="es-ES_tradnl"/>
              </w:rPr>
              <w:t>industria</w:t>
            </w:r>
          </w:p>
        </w:tc>
      </w:tr>
      <w:tr w:rsidR="003A1947" w:rsidRPr="009337B3">
        <w:tc>
          <w:tcPr>
            <w:tcW w:w="1809" w:type="dxa"/>
            <w:vMerge/>
            <w:tcBorders>
              <w:bottom w:val="single" w:sz="4" w:space="0" w:color="auto"/>
            </w:tcBorders>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tcBorders>
              <w:bottom w:val="single" w:sz="4" w:space="0" w:color="auto"/>
            </w:tcBorders>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cuentan con mecanismos para poner en práctica las prioridades internacionales en relación con los productos químicos</w:t>
            </w:r>
          </w:p>
        </w:tc>
        <w:tc>
          <w:tcPr>
            <w:tcW w:w="2267" w:type="dxa"/>
            <w:tcBorders>
              <w:bottom w:val="single" w:sz="4" w:space="0" w:color="auto"/>
            </w:tcBorders>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III: Aplicación de los convenios internacionales</w:t>
            </w:r>
          </w:p>
        </w:tc>
      </w:tr>
      <w:tr w:rsidR="003A1947" w:rsidRPr="009337B3">
        <w:tc>
          <w:tcPr>
            <w:tcW w:w="1809" w:type="dxa"/>
            <w:vMerge w:val="restart"/>
            <w:tcBorders>
              <w:top w:val="single" w:sz="4" w:space="0" w:color="auto"/>
            </w:tcBorders>
          </w:tcPr>
          <w:p w:rsidR="003A1947" w:rsidRPr="00BB0A7A" w:rsidRDefault="003A1947" w:rsidP="0058788B">
            <w:pPr>
              <w:spacing w:after="120" w:line="240" w:lineRule="auto"/>
              <w:ind w:left="-43"/>
              <w:rPr>
                <w:rFonts w:ascii="Times New Roman" w:hAnsi="Times New Roman" w:cs="Times New Roman"/>
                <w:sz w:val="18"/>
                <w:szCs w:val="18"/>
                <w:lang w:val="es-ES_tradnl"/>
              </w:rPr>
            </w:pPr>
            <w:r w:rsidRPr="00BB0A7A">
              <w:rPr>
                <w:rFonts w:ascii="Times New Roman" w:hAnsi="Times New Roman"/>
                <w:sz w:val="18"/>
                <w:lang w:val="es-ES_tradnl"/>
              </w:rPr>
              <w:t>D. Creación de capacidad y cooperación técnica</w:t>
            </w:r>
          </w:p>
        </w:tc>
        <w:tc>
          <w:tcPr>
            <w:tcW w:w="5671" w:type="dxa"/>
            <w:tcBorders>
              <w:top w:val="single" w:sz="4" w:space="0" w:color="auto"/>
            </w:tcBorders>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suministran recursos (financieros y en especie) para ayudar a la creación de capacidad y la cooperación técnica con otros países</w:t>
            </w:r>
          </w:p>
        </w:tc>
        <w:tc>
          <w:tcPr>
            <w:tcW w:w="2267" w:type="dxa"/>
            <w:tcBorders>
              <w:top w:val="single" w:sz="4" w:space="0" w:color="auto"/>
            </w:tcBorders>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p>
        </w:tc>
      </w:tr>
      <w:tr w:rsidR="003A1947" w:rsidRPr="009337B3">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han</w:t>
            </w:r>
            <w:r w:rsidR="009A399B" w:rsidRPr="00BB0A7A">
              <w:rPr>
                <w:rFonts w:ascii="Times New Roman" w:hAnsi="Times New Roman"/>
                <w:sz w:val="18"/>
                <w:lang w:val="es-ES_tradnl"/>
              </w:rPr>
              <w:t xml:space="preserve"> definido</w:t>
            </w:r>
            <w:r w:rsidRPr="00BB0A7A">
              <w:rPr>
                <w:rFonts w:ascii="Times New Roman" w:hAnsi="Times New Roman"/>
                <w:sz w:val="18"/>
                <w:lang w:val="es-ES_tradnl"/>
              </w:rPr>
              <w:t xml:space="preserve"> sus necesidades nacionales en materia de creación de capacidad para la gestión racional de productos químicos y les han asignado prioridad</w:t>
            </w:r>
          </w:p>
        </w:tc>
        <w:tc>
          <w:tcPr>
            <w:tcW w:w="2267" w:type="dxa"/>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p>
        </w:tc>
      </w:tr>
      <w:tr w:rsidR="003A1947" w:rsidRPr="009337B3">
        <w:tc>
          <w:tcPr>
            <w:tcW w:w="1809" w:type="dxa"/>
            <w:vMerge/>
          </w:tcPr>
          <w:p w:rsidR="003A1947" w:rsidRPr="00BB0A7A" w:rsidRDefault="003A1947" w:rsidP="0058788B">
            <w:pPr>
              <w:spacing w:after="120" w:line="240" w:lineRule="auto"/>
              <w:ind w:left="-43"/>
              <w:rPr>
                <w:rFonts w:ascii="Times New Roman" w:hAnsi="Times New Roman" w:cs="Times New Roman"/>
                <w:sz w:val="18"/>
                <w:szCs w:val="18"/>
                <w:lang w:val="es-ES_tradnl"/>
              </w:rPr>
            </w:pPr>
          </w:p>
        </w:tc>
        <w:tc>
          <w:tcPr>
            <w:tcW w:w="5671" w:type="dxa"/>
            <w:shd w:val="clear" w:color="auto" w:fill="auto"/>
          </w:tcPr>
          <w:p w:rsidR="003A1947" w:rsidRPr="00BB0A7A" w:rsidRDefault="003A1947" w:rsidP="0084220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cooperan a nivel regional en cuestiones relativas a la gestión racional de los productos químicos</w:t>
            </w:r>
          </w:p>
        </w:tc>
        <w:tc>
          <w:tcPr>
            <w:tcW w:w="2267" w:type="dxa"/>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p>
        </w:tc>
      </w:tr>
      <w:tr w:rsidR="003A1947" w:rsidRPr="009337B3">
        <w:trPr>
          <w:trHeight w:val="413"/>
        </w:trPr>
        <w:tc>
          <w:tcPr>
            <w:tcW w:w="1809" w:type="dxa"/>
            <w:vMerge/>
          </w:tcPr>
          <w:p w:rsidR="003A1947" w:rsidRPr="00BB0A7A" w:rsidRDefault="003A1947" w:rsidP="0058788B">
            <w:pPr>
              <w:spacing w:line="240" w:lineRule="auto"/>
              <w:ind w:left="-43"/>
              <w:contextualSpacing/>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8" w:hanging="318"/>
              <w:rPr>
                <w:rFonts w:ascii="Times New Roman" w:hAnsi="Times New Roman" w:cs="Times New Roman"/>
                <w:sz w:val="18"/>
                <w:szCs w:val="18"/>
                <w:lang w:val="es-ES_tradnl"/>
              </w:rPr>
            </w:pPr>
            <w:r w:rsidRPr="00BB0A7A">
              <w:rPr>
                <w:rFonts w:ascii="Times New Roman" w:hAnsi="Times New Roman"/>
                <w:sz w:val="18"/>
                <w:lang w:val="es-ES_tradnl"/>
              </w:rPr>
              <w:t>Número de países que incluyen la gestión racional de los productos químicos en los programas de ayuda al desarrollo</w:t>
            </w:r>
          </w:p>
        </w:tc>
        <w:tc>
          <w:tcPr>
            <w:tcW w:w="2267" w:type="dxa"/>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 xml:space="preserve">VII: Procesos de </w:t>
            </w:r>
            <w:proofErr w:type="spellStart"/>
            <w:r w:rsidRPr="00BB0A7A">
              <w:rPr>
                <w:rFonts w:ascii="Times New Roman" w:hAnsi="Times New Roman"/>
                <w:sz w:val="18"/>
                <w:lang w:val="es-ES_tradnl"/>
              </w:rPr>
              <w:t>presupuestación</w:t>
            </w:r>
            <w:proofErr w:type="spellEnd"/>
            <w:r w:rsidRPr="00BB0A7A">
              <w:rPr>
                <w:rFonts w:ascii="Times New Roman" w:hAnsi="Times New Roman"/>
                <w:sz w:val="18"/>
                <w:lang w:val="es-ES_tradnl"/>
              </w:rPr>
              <w:t xml:space="preserve"> nacionales</w:t>
            </w:r>
          </w:p>
        </w:tc>
      </w:tr>
      <w:tr w:rsidR="003A1947" w:rsidRPr="009337B3">
        <w:tc>
          <w:tcPr>
            <w:tcW w:w="1809" w:type="dxa"/>
            <w:vMerge/>
          </w:tcPr>
          <w:p w:rsidR="003A1947" w:rsidRPr="00BB0A7A" w:rsidRDefault="003A1947" w:rsidP="0058788B">
            <w:pPr>
              <w:spacing w:line="240" w:lineRule="auto"/>
              <w:ind w:left="-43"/>
              <w:contextualSpacing/>
              <w:rPr>
                <w:rFonts w:ascii="Times New Roman" w:hAnsi="Times New Roman" w:cs="Times New Roman"/>
                <w:sz w:val="18"/>
                <w:szCs w:val="18"/>
                <w:lang w:val="es-ES_tradnl"/>
              </w:rPr>
            </w:pPr>
          </w:p>
        </w:tc>
        <w:tc>
          <w:tcPr>
            <w:tcW w:w="5671" w:type="dxa"/>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ejecutan proyectos con el apoyo del Fo</w:t>
            </w:r>
            <w:r w:rsidR="00AE4525">
              <w:rPr>
                <w:rFonts w:ascii="Times New Roman" w:hAnsi="Times New Roman"/>
                <w:sz w:val="18"/>
                <w:lang w:val="es-ES_tradnl"/>
              </w:rPr>
              <w:t>ndo Fiduciario del Programa de Inicio R</w:t>
            </w:r>
            <w:r w:rsidRPr="00BB0A7A">
              <w:rPr>
                <w:rFonts w:ascii="Times New Roman" w:hAnsi="Times New Roman"/>
                <w:sz w:val="18"/>
                <w:lang w:val="es-ES_tradnl"/>
              </w:rPr>
              <w:t>ápido del Enfoque Estratégico</w:t>
            </w:r>
          </w:p>
        </w:tc>
        <w:tc>
          <w:tcPr>
            <w:tcW w:w="2267" w:type="dxa"/>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p>
        </w:tc>
      </w:tr>
      <w:tr w:rsidR="003A1947" w:rsidRPr="009337B3">
        <w:tc>
          <w:tcPr>
            <w:tcW w:w="1809" w:type="dxa"/>
            <w:vMerge/>
            <w:tcBorders>
              <w:bottom w:val="single" w:sz="4" w:space="0" w:color="auto"/>
            </w:tcBorders>
          </w:tcPr>
          <w:p w:rsidR="003A1947" w:rsidRPr="00BB0A7A" w:rsidRDefault="003A1947" w:rsidP="0058788B">
            <w:pPr>
              <w:spacing w:line="240" w:lineRule="auto"/>
              <w:ind w:left="-43"/>
              <w:contextualSpacing/>
              <w:rPr>
                <w:rFonts w:ascii="Times New Roman" w:hAnsi="Times New Roman" w:cs="Times New Roman"/>
                <w:sz w:val="18"/>
                <w:szCs w:val="18"/>
                <w:lang w:val="es-ES_tradnl"/>
              </w:rPr>
            </w:pPr>
          </w:p>
        </w:tc>
        <w:tc>
          <w:tcPr>
            <w:tcW w:w="5671" w:type="dxa"/>
            <w:tcBorders>
              <w:bottom w:val="single" w:sz="4" w:space="0" w:color="auto"/>
            </w:tcBorders>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(y organizaciones) que ejecutan proyectos de gestión racional de los productos químicos con el apoyo de otras fuentes de financiación (no financiado</w:t>
            </w:r>
            <w:r w:rsidR="00B77933">
              <w:rPr>
                <w:rFonts w:ascii="Times New Roman" w:hAnsi="Times New Roman"/>
                <w:sz w:val="18"/>
                <w:lang w:val="es-ES_tradnl"/>
              </w:rPr>
              <w:t>s con recursos del Programa de Inicio R</w:t>
            </w:r>
            <w:r w:rsidRPr="00BB0A7A">
              <w:rPr>
                <w:rFonts w:ascii="Times New Roman" w:hAnsi="Times New Roman"/>
                <w:sz w:val="18"/>
                <w:lang w:val="es-ES_tradnl"/>
              </w:rPr>
              <w:t>ápido)</w:t>
            </w:r>
          </w:p>
        </w:tc>
        <w:tc>
          <w:tcPr>
            <w:tcW w:w="2267" w:type="dxa"/>
            <w:tcBorders>
              <w:bottom w:val="single" w:sz="4" w:space="0" w:color="auto"/>
            </w:tcBorders>
            <w:shd w:val="clear" w:color="auto" w:fill="auto"/>
          </w:tcPr>
          <w:p w:rsidR="003A1947" w:rsidRPr="00BB0A7A" w:rsidRDefault="008B4EBB"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VI: Participación de la </w:t>
            </w:r>
            <w:r w:rsidR="003A1947" w:rsidRPr="00BB0A7A">
              <w:rPr>
                <w:rFonts w:ascii="Times New Roman" w:hAnsi="Times New Roman"/>
                <w:sz w:val="18"/>
                <w:lang w:val="es-ES_tradnl"/>
              </w:rPr>
              <w:t>industria</w:t>
            </w:r>
          </w:p>
        </w:tc>
      </w:tr>
      <w:tr w:rsidR="003A1947" w:rsidRPr="009337B3">
        <w:tc>
          <w:tcPr>
            <w:tcW w:w="1809" w:type="dxa"/>
            <w:vMerge w:val="restart"/>
            <w:tcBorders>
              <w:top w:val="single" w:sz="4" w:space="0" w:color="auto"/>
            </w:tcBorders>
          </w:tcPr>
          <w:p w:rsidR="003A1947" w:rsidRPr="00BB0A7A" w:rsidRDefault="003A1947" w:rsidP="00B77933">
            <w:pPr>
              <w:keepNext/>
              <w:keepLines/>
              <w:spacing w:line="240" w:lineRule="auto"/>
              <w:ind w:left="-43"/>
              <w:contextualSpacing/>
              <w:rPr>
                <w:rFonts w:ascii="Times New Roman" w:hAnsi="Times New Roman" w:cs="Times New Roman"/>
                <w:sz w:val="18"/>
                <w:szCs w:val="18"/>
                <w:lang w:val="es-ES_tradnl"/>
              </w:rPr>
            </w:pPr>
            <w:r w:rsidRPr="00BB0A7A">
              <w:rPr>
                <w:rFonts w:ascii="Times New Roman" w:hAnsi="Times New Roman"/>
                <w:sz w:val="18"/>
                <w:lang w:val="es-ES_tradnl"/>
              </w:rPr>
              <w:t>E. Tráfico internacional ilícito</w:t>
            </w:r>
          </w:p>
        </w:tc>
        <w:tc>
          <w:tcPr>
            <w:tcW w:w="5671" w:type="dxa"/>
            <w:tcBorders>
              <w:top w:val="single" w:sz="4" w:space="0" w:color="auto"/>
            </w:tcBorders>
            <w:shd w:val="clear" w:color="auto" w:fill="auto"/>
          </w:tcPr>
          <w:p w:rsidR="003A1947" w:rsidRPr="00BB0A7A" w:rsidRDefault="009A399B" w:rsidP="00B77933">
            <w:pPr>
              <w:keepNext/>
              <w:keepLines/>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que cuentan con</w:t>
            </w:r>
            <w:r w:rsidR="003A1947" w:rsidRPr="00BB0A7A">
              <w:rPr>
                <w:rFonts w:ascii="Times New Roman" w:hAnsi="Times New Roman"/>
                <w:sz w:val="18"/>
                <w:lang w:val="es-ES_tradnl"/>
              </w:rPr>
              <w:t xml:space="preserve"> mecanismos para prevenir el tráfico de productos químicos tóxicos, peligrosos y rigurosamente restringidos</w:t>
            </w:r>
          </w:p>
        </w:tc>
        <w:tc>
          <w:tcPr>
            <w:tcW w:w="2267" w:type="dxa"/>
            <w:tcBorders>
              <w:top w:val="single" w:sz="4" w:space="0" w:color="auto"/>
            </w:tcBorders>
            <w:shd w:val="clear" w:color="auto" w:fill="auto"/>
          </w:tcPr>
          <w:p w:rsidR="003A1947" w:rsidRPr="00BB0A7A" w:rsidRDefault="003A1947" w:rsidP="00B77933">
            <w:pPr>
              <w:keepNext/>
              <w:keepLines/>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I: Marcos jurídicos</w:t>
            </w:r>
          </w:p>
          <w:p w:rsidR="003A1947" w:rsidRPr="00BB0A7A" w:rsidRDefault="003A1947" w:rsidP="00B77933">
            <w:pPr>
              <w:keepNext/>
              <w:keepLines/>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II: Aplicación y cumplimiento</w:t>
            </w:r>
          </w:p>
        </w:tc>
      </w:tr>
      <w:tr w:rsidR="003A1947" w:rsidRPr="009337B3">
        <w:tc>
          <w:tcPr>
            <w:tcW w:w="1809" w:type="dxa"/>
            <w:vMerge/>
            <w:tcBorders>
              <w:bottom w:val="single" w:sz="12" w:space="0" w:color="auto"/>
            </w:tcBorders>
          </w:tcPr>
          <w:p w:rsidR="003A1947" w:rsidRPr="00BB0A7A" w:rsidRDefault="003A1947" w:rsidP="0058788B">
            <w:pPr>
              <w:spacing w:line="240" w:lineRule="auto"/>
              <w:ind w:left="-43"/>
              <w:contextualSpacing/>
              <w:rPr>
                <w:rFonts w:ascii="Times New Roman" w:hAnsi="Times New Roman" w:cs="Times New Roman"/>
                <w:b/>
                <w:sz w:val="18"/>
                <w:szCs w:val="18"/>
                <w:lang w:val="es-ES_tradnl"/>
              </w:rPr>
            </w:pPr>
          </w:p>
        </w:tc>
        <w:tc>
          <w:tcPr>
            <w:tcW w:w="5671" w:type="dxa"/>
            <w:tcBorders>
              <w:bottom w:val="single" w:sz="12" w:space="0" w:color="auto"/>
            </w:tcBorders>
            <w:shd w:val="clear" w:color="auto" w:fill="auto"/>
          </w:tcPr>
          <w:p w:rsidR="003A1947" w:rsidRPr="00BB0A7A" w:rsidRDefault="003A1947" w:rsidP="0058788B">
            <w:pPr>
              <w:numPr>
                <w:ilvl w:val="0"/>
                <w:numId w:val="6"/>
              </w:numPr>
              <w:spacing w:after="60" w:line="240" w:lineRule="auto"/>
              <w:ind w:left="317" w:hanging="317"/>
              <w:rPr>
                <w:rFonts w:ascii="Times New Roman" w:hAnsi="Times New Roman" w:cs="Times New Roman"/>
                <w:sz w:val="18"/>
                <w:szCs w:val="18"/>
                <w:lang w:val="es-ES_tradnl"/>
              </w:rPr>
            </w:pPr>
            <w:r w:rsidRPr="00BB0A7A">
              <w:rPr>
                <w:rFonts w:ascii="Times New Roman" w:hAnsi="Times New Roman"/>
                <w:sz w:val="18"/>
                <w:lang w:val="es-ES_tradnl"/>
              </w:rPr>
              <w:t>Número de países que cuentan con mecanismos para prevenir el tráfico ilícito de productos químicos peligrosos</w:t>
            </w:r>
          </w:p>
        </w:tc>
        <w:tc>
          <w:tcPr>
            <w:tcW w:w="2267" w:type="dxa"/>
            <w:tcBorders>
              <w:bottom w:val="single" w:sz="12" w:space="0" w:color="auto"/>
            </w:tcBorders>
            <w:shd w:val="clear" w:color="auto" w:fill="auto"/>
          </w:tcPr>
          <w:p w:rsidR="003A1947" w:rsidRPr="00BB0A7A" w:rsidRDefault="003A1947"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I: Marcos jurídicos</w:t>
            </w:r>
          </w:p>
          <w:p w:rsidR="003A1947" w:rsidRPr="00BB0A7A" w:rsidRDefault="00662626" w:rsidP="0058788B">
            <w:pPr>
              <w:spacing w:after="60" w:line="240" w:lineRule="auto"/>
              <w:rPr>
                <w:rFonts w:ascii="Times New Roman" w:hAnsi="Times New Roman" w:cs="Times New Roman"/>
                <w:sz w:val="18"/>
                <w:szCs w:val="18"/>
                <w:lang w:val="es-ES_tradnl"/>
              </w:rPr>
            </w:pPr>
            <w:r w:rsidRPr="00BB0A7A">
              <w:rPr>
                <w:rFonts w:ascii="Times New Roman" w:hAnsi="Times New Roman"/>
                <w:sz w:val="18"/>
                <w:lang w:val="es-ES_tradnl"/>
              </w:rPr>
              <w:t>II: Aplicación y cumplimiento</w:t>
            </w:r>
          </w:p>
        </w:tc>
      </w:tr>
    </w:tbl>
    <w:p w:rsidR="003A1947" w:rsidRPr="00BB0A7A" w:rsidRDefault="003A1947" w:rsidP="0058788B">
      <w:pPr>
        <w:pStyle w:val="Normal-pool"/>
        <w:rPr>
          <w:sz w:val="10"/>
          <w:szCs w:val="10"/>
          <w:lang w:val="es-ES_tradnl"/>
        </w:rPr>
      </w:pPr>
    </w:p>
    <w:tbl>
      <w:tblPr>
        <w:tblW w:w="0" w:type="auto"/>
        <w:tblLayout w:type="fixed"/>
        <w:tblLook w:val="04A0" w:firstRow="1" w:lastRow="0" w:firstColumn="1" w:lastColumn="0" w:noHBand="0" w:noVBand="1"/>
      </w:tblPr>
      <w:tblGrid>
        <w:gridCol w:w="1942"/>
        <w:gridCol w:w="1942"/>
        <w:gridCol w:w="1942"/>
        <w:gridCol w:w="1943"/>
        <w:gridCol w:w="1943"/>
      </w:tblGrid>
      <w:tr w:rsidR="0002441C" w:rsidRPr="009337B3" w:rsidTr="008F4A74">
        <w:trPr>
          <w:trHeight w:val="557"/>
        </w:trPr>
        <w:tc>
          <w:tcPr>
            <w:tcW w:w="1942" w:type="dxa"/>
            <w:shd w:val="clear" w:color="auto" w:fill="auto"/>
          </w:tcPr>
          <w:p w:rsidR="0002441C" w:rsidRPr="00BB0A7A" w:rsidRDefault="0002441C" w:rsidP="0058788B">
            <w:pPr>
              <w:pStyle w:val="Normal-pool"/>
              <w:rPr>
                <w:sz w:val="10"/>
                <w:szCs w:val="10"/>
                <w:lang w:val="es-ES_tradnl"/>
              </w:rPr>
            </w:pPr>
          </w:p>
        </w:tc>
        <w:tc>
          <w:tcPr>
            <w:tcW w:w="1942" w:type="dxa"/>
            <w:shd w:val="clear" w:color="auto" w:fill="auto"/>
          </w:tcPr>
          <w:p w:rsidR="0002441C" w:rsidRPr="00BB0A7A" w:rsidRDefault="0002441C" w:rsidP="0058788B">
            <w:pPr>
              <w:pStyle w:val="Normal-pool"/>
              <w:rPr>
                <w:sz w:val="10"/>
                <w:szCs w:val="10"/>
                <w:lang w:val="es-ES_tradnl"/>
              </w:rPr>
            </w:pPr>
          </w:p>
        </w:tc>
        <w:tc>
          <w:tcPr>
            <w:tcW w:w="1942" w:type="dxa"/>
            <w:tcBorders>
              <w:bottom w:val="single" w:sz="4" w:space="0" w:color="auto"/>
            </w:tcBorders>
            <w:shd w:val="clear" w:color="auto" w:fill="auto"/>
          </w:tcPr>
          <w:p w:rsidR="0002441C" w:rsidRPr="00BB0A7A" w:rsidRDefault="0002441C" w:rsidP="0058788B">
            <w:pPr>
              <w:pStyle w:val="Normal-pool"/>
              <w:rPr>
                <w:sz w:val="10"/>
                <w:szCs w:val="10"/>
                <w:lang w:val="es-ES_tradnl"/>
              </w:rPr>
            </w:pPr>
          </w:p>
        </w:tc>
        <w:tc>
          <w:tcPr>
            <w:tcW w:w="1943" w:type="dxa"/>
            <w:shd w:val="clear" w:color="auto" w:fill="auto"/>
          </w:tcPr>
          <w:p w:rsidR="0002441C" w:rsidRPr="00BB0A7A" w:rsidRDefault="0002441C" w:rsidP="0058788B">
            <w:pPr>
              <w:pStyle w:val="Normal-pool"/>
              <w:rPr>
                <w:sz w:val="10"/>
                <w:szCs w:val="10"/>
                <w:lang w:val="es-ES_tradnl"/>
              </w:rPr>
            </w:pPr>
          </w:p>
        </w:tc>
        <w:tc>
          <w:tcPr>
            <w:tcW w:w="1943" w:type="dxa"/>
            <w:shd w:val="clear" w:color="auto" w:fill="auto"/>
          </w:tcPr>
          <w:p w:rsidR="0002441C" w:rsidRPr="00BB0A7A" w:rsidRDefault="0002441C" w:rsidP="0058788B">
            <w:pPr>
              <w:pStyle w:val="Normal-pool"/>
              <w:rPr>
                <w:sz w:val="10"/>
                <w:szCs w:val="10"/>
                <w:lang w:val="es-ES_tradnl"/>
              </w:rPr>
            </w:pPr>
          </w:p>
        </w:tc>
      </w:tr>
    </w:tbl>
    <w:p w:rsidR="0002441C" w:rsidRPr="00BB0A7A" w:rsidRDefault="0002441C" w:rsidP="0058788B">
      <w:pPr>
        <w:pStyle w:val="Normal-pool"/>
        <w:rPr>
          <w:sz w:val="10"/>
          <w:szCs w:val="10"/>
          <w:lang w:val="es-ES_tradnl"/>
        </w:rPr>
      </w:pPr>
      <w:bookmarkStart w:id="0" w:name="_GoBack"/>
      <w:bookmarkEnd w:id="0"/>
    </w:p>
    <w:sectPr w:rsidR="0002441C" w:rsidRPr="00BB0A7A" w:rsidSect="00115B18">
      <w:headerReference w:type="even" r:id="rId26"/>
      <w:headerReference w:type="default" r:id="rId27"/>
      <w:footerReference w:type="even" r:id="rId28"/>
      <w:footerReference w:type="default" r:id="rId29"/>
      <w:headerReference w:type="first" r:id="rId30"/>
      <w:footerReference w:type="first" r:id="rId31"/>
      <w:footnotePr>
        <w:numFmt w:val="lowerLetter"/>
      </w:footnotePr>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DC4" w:rsidRDefault="00745DC4">
      <w:r>
        <w:separator/>
      </w:r>
    </w:p>
  </w:endnote>
  <w:endnote w:type="continuationSeparator" w:id="0">
    <w:p w:rsidR="00745DC4" w:rsidRDefault="0074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C4" w:rsidRDefault="00745DC4">
    <w:pPr>
      <w:pStyle w:val="Footer"/>
    </w:pPr>
    <w:r>
      <w:rPr>
        <w:rStyle w:val="PageNumber"/>
      </w:rPr>
      <w:fldChar w:fldCharType="begin"/>
    </w:r>
    <w:r>
      <w:rPr>
        <w:rStyle w:val="PageNumber"/>
      </w:rPr>
      <w:instrText xml:space="preserve"> PAGE </w:instrText>
    </w:r>
    <w:r>
      <w:rPr>
        <w:rStyle w:val="PageNumber"/>
      </w:rPr>
      <w:fldChar w:fldCharType="separate"/>
    </w:r>
    <w:r w:rsidR="00452CD6">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C4" w:rsidRPr="007661E3" w:rsidRDefault="00745DC4" w:rsidP="007661E3">
    <w:pPr>
      <w:pStyle w:val="Footer"/>
      <w:tabs>
        <w:tab w:val="clear" w:pos="1247"/>
        <w:tab w:val="clear" w:pos="1814"/>
        <w:tab w:val="clear" w:pos="2381"/>
        <w:tab w:val="clear" w:pos="2948"/>
        <w:tab w:val="clear" w:pos="3515"/>
        <w:tab w:val="clear" w:pos="4320"/>
        <w:tab w:val="clear" w:pos="8640"/>
        <w:tab w:val="left" w:pos="624"/>
      </w:tabs>
      <w:jc w:val="right"/>
      <w:rPr>
        <w:b/>
      </w:rPr>
    </w:pPr>
    <w:r>
      <w:fldChar w:fldCharType="begin"/>
    </w:r>
    <w:r>
      <w:instrText xml:space="preserve"> PAGE   \* MERGEFORMAT </w:instrText>
    </w:r>
    <w:r>
      <w:fldChar w:fldCharType="separate"/>
    </w:r>
    <w:r w:rsidR="00452CD6" w:rsidRPr="00452CD6">
      <w:rPr>
        <w:b/>
        <w:noProof/>
      </w:rPr>
      <w:t>19</w:t>
    </w:r>
    <w:r>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C4" w:rsidRPr="00745DC4" w:rsidRDefault="00745DC4">
    <w:pPr>
      <w:pStyle w:val="Footer"/>
      <w:rPr>
        <w:sz w:val="20"/>
      </w:rPr>
    </w:pPr>
    <w:r w:rsidRPr="00745DC4">
      <w:rPr>
        <w:sz w:val="20"/>
      </w:rPr>
      <w:t>K1502328</w:t>
    </w:r>
    <w:r w:rsidRPr="00745DC4">
      <w:rPr>
        <w:sz w:val="20"/>
      </w:rPr>
      <w:tab/>
      <w:t>310815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DC4" w:rsidRPr="00B17FA7" w:rsidRDefault="00745DC4" w:rsidP="00745DC4">
      <w:pPr>
        <w:spacing w:before="40" w:after="20" w:line="240" w:lineRule="auto"/>
        <w:ind w:left="624"/>
        <w:rPr>
          <w:rFonts w:ascii="Times New Roman" w:hAnsi="Times New Roman" w:cs="Times New Roman"/>
          <w:sz w:val="18"/>
          <w:szCs w:val="18"/>
        </w:rPr>
      </w:pPr>
      <w:r w:rsidRPr="00B17FA7">
        <w:rPr>
          <w:rFonts w:ascii="Times New Roman" w:hAnsi="Times New Roman" w:cs="Times New Roman"/>
          <w:sz w:val="18"/>
          <w:szCs w:val="18"/>
        </w:rPr>
        <w:separator/>
      </w:r>
    </w:p>
  </w:footnote>
  <w:footnote w:type="continuationSeparator" w:id="0">
    <w:p w:rsidR="00745DC4" w:rsidRDefault="00745DC4">
      <w:r>
        <w:continuationSeparator/>
      </w:r>
    </w:p>
  </w:footnote>
  <w:footnote w:id="1">
    <w:p w:rsidR="00745DC4" w:rsidRPr="006E5360" w:rsidRDefault="00745DC4">
      <w:pPr>
        <w:pStyle w:val="FootnoteText"/>
        <w:rPr>
          <w:lang w:val="es-ES"/>
        </w:rPr>
      </w:pPr>
      <w:r w:rsidRPr="009F3996">
        <w:rPr>
          <w:rStyle w:val="FootnoteReference"/>
          <w:vertAlign w:val="baseline"/>
          <w:lang w:val="es-ES"/>
        </w:rPr>
        <w:t>*</w:t>
      </w:r>
      <w:r w:rsidRPr="006E5360">
        <w:rPr>
          <w:lang w:val="es-ES"/>
        </w:rPr>
        <w:t xml:space="preserve"> SAICM/ICCM.4/1</w:t>
      </w:r>
    </w:p>
  </w:footnote>
  <w:footnote w:id="2">
    <w:p w:rsidR="00745DC4" w:rsidRPr="00F253E5" w:rsidRDefault="00745DC4" w:rsidP="001B1678">
      <w:pPr>
        <w:pStyle w:val="FootnoteText"/>
        <w:rPr>
          <w:lang w:val="es-ES"/>
        </w:rPr>
      </w:pPr>
      <w:r>
        <w:rPr>
          <w:rStyle w:val="FootnoteReference"/>
          <w:lang w:val="es-ES"/>
        </w:rPr>
        <w:footnoteRef/>
      </w:r>
      <w:r>
        <w:rPr>
          <w:lang w:val="es-ES"/>
        </w:rPr>
        <w:t xml:space="preserve"> El número de actividades seleccionadas por cada informante se expresa en forma de porcentaje del total de las actividades disponibles en cada pregunta; por tanto, una puntuación de 0 significaría que ningún interesado seleccionó actividad alguna y una puntuación de 1 significaría que todos seleccionaron todas las actividades disponibles en cada pregunta.</w:t>
      </w:r>
    </w:p>
  </w:footnote>
  <w:footnote w:id="3">
    <w:p w:rsidR="00745DC4" w:rsidRPr="00B108BE" w:rsidRDefault="00745DC4">
      <w:pPr>
        <w:pStyle w:val="FootnoteText"/>
        <w:rPr>
          <w:szCs w:val="18"/>
          <w:lang w:val="es-ES"/>
        </w:rPr>
      </w:pPr>
      <w:r w:rsidRPr="002A7F8A">
        <w:rPr>
          <w:rStyle w:val="FootnoteReference"/>
          <w:sz w:val="18"/>
          <w:lang w:val="es-ES"/>
        </w:rPr>
        <w:footnoteRef/>
      </w:r>
      <w:r>
        <w:rPr>
          <w:lang w:val="es-ES"/>
        </w:rPr>
        <w:t xml:space="preserve"> Véase SAICM/OEWG.2/8, párr. 28.</w:t>
      </w:r>
    </w:p>
  </w:footnote>
  <w:footnote w:id="4">
    <w:p w:rsidR="00745DC4" w:rsidRPr="002A7F8A" w:rsidRDefault="00745DC4">
      <w:pPr>
        <w:pStyle w:val="FootnoteText"/>
        <w:rPr>
          <w:szCs w:val="18"/>
          <w:lang w:val="es-ES"/>
        </w:rPr>
      </w:pPr>
      <w:r w:rsidRPr="005D6A08">
        <w:rPr>
          <w:rStyle w:val="FootnoteReference"/>
          <w:sz w:val="18"/>
          <w:lang w:val="es-ES"/>
        </w:rPr>
        <w:footnoteRef/>
      </w:r>
      <w:r>
        <w:rPr>
          <w:lang w:val="es-ES"/>
        </w:rPr>
        <w:t xml:space="preserve"> Los datos del segundo período de presentación de informes son de 2012 y se recopilaron en colaboración con las oficinas regionales y las oficinas en los países y las asociaciones de centros de toxicología, y mediante un recuento de los centros de cuya existencia se tenía noticia. No obstante, puede que haya más centros de los señalados o consultados en este proceso.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C4" w:rsidRPr="00DF650A" w:rsidRDefault="00745DC4" w:rsidP="00536CB4">
    <w:pPr>
      <w:pStyle w:val="Header"/>
      <w:tabs>
        <w:tab w:val="clear" w:pos="1247"/>
        <w:tab w:val="clear" w:pos="4536"/>
        <w:tab w:val="clear" w:pos="9072"/>
        <w:tab w:val="left" w:pos="624"/>
      </w:tabs>
      <w:rPr>
        <w:szCs w:val="18"/>
        <w:lang w:val="es-ES"/>
      </w:rPr>
    </w:pPr>
    <w:r>
      <w:rPr>
        <w:lang w:val="es-ES"/>
      </w:rPr>
      <w:t>SAICM/ICCM.4/3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C4" w:rsidRPr="002A7F8A" w:rsidRDefault="00745DC4" w:rsidP="002A7F8A">
    <w:pPr>
      <w:pStyle w:val="Header"/>
      <w:tabs>
        <w:tab w:val="clear" w:pos="1247"/>
        <w:tab w:val="clear" w:pos="4536"/>
        <w:tab w:val="clear" w:pos="9072"/>
        <w:tab w:val="left" w:pos="624"/>
      </w:tabs>
      <w:jc w:val="right"/>
      <w:rPr>
        <w:szCs w:val="18"/>
        <w:lang w:val="es-ES"/>
      </w:rPr>
    </w:pPr>
    <w:r>
      <w:rPr>
        <w:lang w:val="es-ES"/>
      </w:rPr>
      <w:t>SAICM/ICCM.4/3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C4" w:rsidRDefault="00745DC4" w:rsidP="00707B0D">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5F1A"/>
    <w:multiLevelType w:val="multilevel"/>
    <w:tmpl w:val="C848F968"/>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ind w:left="2174" w:hanging="360"/>
      </w:pPr>
      <w:rPr>
        <w:rFonts w:hint="default"/>
        <w:b w:val="0"/>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
    <w:nsid w:val="13862EB7"/>
    <w:multiLevelType w:val="singleLevel"/>
    <w:tmpl w:val="98E88CC0"/>
    <w:lvl w:ilvl="0">
      <w:start w:val="1"/>
      <w:numFmt w:val="decimal"/>
      <w:pStyle w:val="Paralevel1Char"/>
      <w:lvlText w:val="%1."/>
      <w:lvlJc w:val="left"/>
      <w:pPr>
        <w:tabs>
          <w:tab w:val="num" w:pos="360"/>
        </w:tabs>
        <w:ind w:left="0" w:firstLine="0"/>
      </w:pPr>
      <w:rPr>
        <w:rFonts w:ascii="Times New Roman" w:hAnsi="Times New Roman" w:hint="default"/>
        <w:b w:val="0"/>
        <w:i w:val="0"/>
        <w:sz w:val="20"/>
        <w:szCs w:val="20"/>
      </w:rPr>
    </w:lvl>
  </w:abstractNum>
  <w:abstractNum w:abstractNumId="2">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3">
    <w:nsid w:val="280D3EAD"/>
    <w:multiLevelType w:val="hybridMultilevel"/>
    <w:tmpl w:val="73BEAEB2"/>
    <w:lvl w:ilvl="0" w:tplc="0408000F">
      <w:start w:val="1"/>
      <w:numFmt w:val="decimal"/>
      <w:lvlText w:val="%1."/>
      <w:lvlJc w:val="left"/>
      <w:pPr>
        <w:ind w:left="4187" w:hanging="360"/>
      </w:pPr>
    </w:lvl>
    <w:lvl w:ilvl="1" w:tplc="04080019" w:tentative="1">
      <w:start w:val="1"/>
      <w:numFmt w:val="lowerLetter"/>
      <w:lvlText w:val="%2."/>
      <w:lvlJc w:val="left"/>
      <w:pPr>
        <w:ind w:left="4907" w:hanging="360"/>
      </w:pPr>
    </w:lvl>
    <w:lvl w:ilvl="2" w:tplc="0408001B" w:tentative="1">
      <w:start w:val="1"/>
      <w:numFmt w:val="lowerRoman"/>
      <w:lvlText w:val="%3."/>
      <w:lvlJc w:val="right"/>
      <w:pPr>
        <w:ind w:left="5627" w:hanging="180"/>
      </w:pPr>
    </w:lvl>
    <w:lvl w:ilvl="3" w:tplc="0408000F" w:tentative="1">
      <w:start w:val="1"/>
      <w:numFmt w:val="decimal"/>
      <w:lvlText w:val="%4."/>
      <w:lvlJc w:val="left"/>
      <w:pPr>
        <w:ind w:left="6347" w:hanging="360"/>
      </w:pPr>
    </w:lvl>
    <w:lvl w:ilvl="4" w:tplc="04080019" w:tentative="1">
      <w:start w:val="1"/>
      <w:numFmt w:val="lowerLetter"/>
      <w:lvlText w:val="%5."/>
      <w:lvlJc w:val="left"/>
      <w:pPr>
        <w:ind w:left="7067" w:hanging="360"/>
      </w:pPr>
    </w:lvl>
    <w:lvl w:ilvl="5" w:tplc="0408001B" w:tentative="1">
      <w:start w:val="1"/>
      <w:numFmt w:val="lowerRoman"/>
      <w:lvlText w:val="%6."/>
      <w:lvlJc w:val="right"/>
      <w:pPr>
        <w:ind w:left="7787" w:hanging="180"/>
      </w:pPr>
    </w:lvl>
    <w:lvl w:ilvl="6" w:tplc="0408000F" w:tentative="1">
      <w:start w:val="1"/>
      <w:numFmt w:val="decimal"/>
      <w:lvlText w:val="%7."/>
      <w:lvlJc w:val="left"/>
      <w:pPr>
        <w:ind w:left="8507" w:hanging="360"/>
      </w:pPr>
    </w:lvl>
    <w:lvl w:ilvl="7" w:tplc="04080019" w:tentative="1">
      <w:start w:val="1"/>
      <w:numFmt w:val="lowerLetter"/>
      <w:lvlText w:val="%8."/>
      <w:lvlJc w:val="left"/>
      <w:pPr>
        <w:ind w:left="9227" w:hanging="360"/>
      </w:pPr>
    </w:lvl>
    <w:lvl w:ilvl="8" w:tplc="0408001B" w:tentative="1">
      <w:start w:val="1"/>
      <w:numFmt w:val="lowerRoman"/>
      <w:lvlText w:val="%9."/>
      <w:lvlJc w:val="right"/>
      <w:pPr>
        <w:ind w:left="9947" w:hanging="180"/>
      </w:pPr>
    </w:lvl>
  </w:abstractNum>
  <w:abstractNum w:abstractNumId="4">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5">
    <w:nsid w:val="4B2225BC"/>
    <w:multiLevelType w:val="hybridMultilevel"/>
    <w:tmpl w:val="CCCC6AEA"/>
    <w:lvl w:ilvl="0" w:tplc="0409000F">
      <w:start w:val="1"/>
      <w:numFmt w:val="bullet"/>
      <w:pStyle w:val="Bullets"/>
      <w:lvlText w:val=""/>
      <w:lvlJc w:val="left"/>
      <w:pPr>
        <w:ind w:left="360" w:hanging="360"/>
      </w:pPr>
      <w:rPr>
        <w:rFonts w:ascii="Symbol" w:hAnsi="Symbol" w:hint="default"/>
      </w:rPr>
    </w:lvl>
    <w:lvl w:ilvl="1" w:tplc="BF64D242"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6">
    <w:nsid w:val="52A66A9D"/>
    <w:multiLevelType w:val="multilevel"/>
    <w:tmpl w:val="48241D1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noPunctuationKerning/>
  <w:characterSpacingControl w:val="doNotCompress"/>
  <w:hdrShapeDefaults>
    <o:shapedefaults v:ext="edit" spidmax="16385"/>
  </w:hdrShapeDefaults>
  <w:footnotePr>
    <w:numFmt w:val="lowerLette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77"/>
    <w:rsid w:val="000079CC"/>
    <w:rsid w:val="000115FD"/>
    <w:rsid w:val="000133F0"/>
    <w:rsid w:val="00013F96"/>
    <w:rsid w:val="00013FDD"/>
    <w:rsid w:val="00020934"/>
    <w:rsid w:val="00021061"/>
    <w:rsid w:val="00022CB6"/>
    <w:rsid w:val="0002441C"/>
    <w:rsid w:val="000264C1"/>
    <w:rsid w:val="000267A9"/>
    <w:rsid w:val="00027568"/>
    <w:rsid w:val="0004386D"/>
    <w:rsid w:val="00045E11"/>
    <w:rsid w:val="00046476"/>
    <w:rsid w:val="000506A8"/>
    <w:rsid w:val="0005314F"/>
    <w:rsid w:val="000605C1"/>
    <w:rsid w:val="00061A01"/>
    <w:rsid w:val="000715F9"/>
    <w:rsid w:val="000A4849"/>
    <w:rsid w:val="000B006E"/>
    <w:rsid w:val="000B019B"/>
    <w:rsid w:val="000B540B"/>
    <w:rsid w:val="000B7A16"/>
    <w:rsid w:val="000B7EBD"/>
    <w:rsid w:val="000C5124"/>
    <w:rsid w:val="000C7FFD"/>
    <w:rsid w:val="000D6120"/>
    <w:rsid w:val="000E182F"/>
    <w:rsid w:val="000E553D"/>
    <w:rsid w:val="000F148B"/>
    <w:rsid w:val="000F26E3"/>
    <w:rsid w:val="00103DAB"/>
    <w:rsid w:val="001073B8"/>
    <w:rsid w:val="001153B6"/>
    <w:rsid w:val="00115B18"/>
    <w:rsid w:val="00117A28"/>
    <w:rsid w:val="00117D8D"/>
    <w:rsid w:val="00147A01"/>
    <w:rsid w:val="00157AF6"/>
    <w:rsid w:val="00160B6D"/>
    <w:rsid w:val="00170AFF"/>
    <w:rsid w:val="001805D6"/>
    <w:rsid w:val="00182EB9"/>
    <w:rsid w:val="00184B40"/>
    <w:rsid w:val="00185FCA"/>
    <w:rsid w:val="00195CAA"/>
    <w:rsid w:val="00196895"/>
    <w:rsid w:val="001A0C97"/>
    <w:rsid w:val="001A34B8"/>
    <w:rsid w:val="001A6396"/>
    <w:rsid w:val="001A6DEE"/>
    <w:rsid w:val="001A7D95"/>
    <w:rsid w:val="001B1678"/>
    <w:rsid w:val="001B64BB"/>
    <w:rsid w:val="001C6160"/>
    <w:rsid w:val="001E1402"/>
    <w:rsid w:val="001E2B42"/>
    <w:rsid w:val="001E3497"/>
    <w:rsid w:val="001E7C39"/>
    <w:rsid w:val="00205B11"/>
    <w:rsid w:val="00216060"/>
    <w:rsid w:val="00216627"/>
    <w:rsid w:val="00230004"/>
    <w:rsid w:val="002306B7"/>
    <w:rsid w:val="002313F4"/>
    <w:rsid w:val="002315BA"/>
    <w:rsid w:val="00233BFD"/>
    <w:rsid w:val="00243E18"/>
    <w:rsid w:val="00251DCA"/>
    <w:rsid w:val="002526D0"/>
    <w:rsid w:val="00255F6D"/>
    <w:rsid w:val="00260B8A"/>
    <w:rsid w:val="0026504A"/>
    <w:rsid w:val="00271B78"/>
    <w:rsid w:val="00275929"/>
    <w:rsid w:val="002927BF"/>
    <w:rsid w:val="00296AD5"/>
    <w:rsid w:val="002A7F8A"/>
    <w:rsid w:val="002B6CA9"/>
    <w:rsid w:val="002B6D51"/>
    <w:rsid w:val="002B79BB"/>
    <w:rsid w:val="002D331E"/>
    <w:rsid w:val="002D39A2"/>
    <w:rsid w:val="002D64DA"/>
    <w:rsid w:val="002E33B5"/>
    <w:rsid w:val="002E72C1"/>
    <w:rsid w:val="002E7867"/>
    <w:rsid w:val="002F329C"/>
    <w:rsid w:val="002F3E53"/>
    <w:rsid w:val="002F3F59"/>
    <w:rsid w:val="002F57B5"/>
    <w:rsid w:val="002F6330"/>
    <w:rsid w:val="00306934"/>
    <w:rsid w:val="00311A63"/>
    <w:rsid w:val="003124E1"/>
    <w:rsid w:val="003136AA"/>
    <w:rsid w:val="00313DBD"/>
    <w:rsid w:val="00316DAD"/>
    <w:rsid w:val="00321FC6"/>
    <w:rsid w:val="003223B5"/>
    <w:rsid w:val="00330CF2"/>
    <w:rsid w:val="00335C73"/>
    <w:rsid w:val="00336CB7"/>
    <w:rsid w:val="00337089"/>
    <w:rsid w:val="00342EE6"/>
    <w:rsid w:val="0034361C"/>
    <w:rsid w:val="00346169"/>
    <w:rsid w:val="00350E8B"/>
    <w:rsid w:val="00355208"/>
    <w:rsid w:val="003700F7"/>
    <w:rsid w:val="00371142"/>
    <w:rsid w:val="003712FC"/>
    <w:rsid w:val="00383D00"/>
    <w:rsid w:val="00387948"/>
    <w:rsid w:val="003A0E95"/>
    <w:rsid w:val="003A1947"/>
    <w:rsid w:val="003A40AB"/>
    <w:rsid w:val="003B44D6"/>
    <w:rsid w:val="003B4B10"/>
    <w:rsid w:val="003B5366"/>
    <w:rsid w:val="003D2CF0"/>
    <w:rsid w:val="003D6BE6"/>
    <w:rsid w:val="003D7AF7"/>
    <w:rsid w:val="003F3311"/>
    <w:rsid w:val="003F5A6F"/>
    <w:rsid w:val="00403327"/>
    <w:rsid w:val="00403905"/>
    <w:rsid w:val="00404C63"/>
    <w:rsid w:val="00407E33"/>
    <w:rsid w:val="004159D4"/>
    <w:rsid w:val="00415C35"/>
    <w:rsid w:val="00422AEF"/>
    <w:rsid w:val="00426D53"/>
    <w:rsid w:val="00430861"/>
    <w:rsid w:val="0043196E"/>
    <w:rsid w:val="0043261C"/>
    <w:rsid w:val="00432754"/>
    <w:rsid w:val="0043581F"/>
    <w:rsid w:val="0045101C"/>
    <w:rsid w:val="0045154C"/>
    <w:rsid w:val="00452CD6"/>
    <w:rsid w:val="00453685"/>
    <w:rsid w:val="004562D1"/>
    <w:rsid w:val="004600C5"/>
    <w:rsid w:val="00463779"/>
    <w:rsid w:val="00470388"/>
    <w:rsid w:val="00471B97"/>
    <w:rsid w:val="00474B93"/>
    <w:rsid w:val="00482070"/>
    <w:rsid w:val="00494236"/>
    <w:rsid w:val="004942FE"/>
    <w:rsid w:val="00495ED2"/>
    <w:rsid w:val="004A44D5"/>
    <w:rsid w:val="004C02AF"/>
    <w:rsid w:val="004C6A03"/>
    <w:rsid w:val="004D1738"/>
    <w:rsid w:val="004D238E"/>
    <w:rsid w:val="004D30C2"/>
    <w:rsid w:val="004D51AC"/>
    <w:rsid w:val="004D7B05"/>
    <w:rsid w:val="004E576F"/>
    <w:rsid w:val="004F57DD"/>
    <w:rsid w:val="004F6E3B"/>
    <w:rsid w:val="005016E3"/>
    <w:rsid w:val="00503C6D"/>
    <w:rsid w:val="00506779"/>
    <w:rsid w:val="00507C3C"/>
    <w:rsid w:val="0052783F"/>
    <w:rsid w:val="005355B9"/>
    <w:rsid w:val="0053607C"/>
    <w:rsid w:val="00536CB4"/>
    <w:rsid w:val="005376B6"/>
    <w:rsid w:val="005402BD"/>
    <w:rsid w:val="00541313"/>
    <w:rsid w:val="00556B70"/>
    <w:rsid w:val="00556B88"/>
    <w:rsid w:val="005610D2"/>
    <w:rsid w:val="00561917"/>
    <w:rsid w:val="00576054"/>
    <w:rsid w:val="00581276"/>
    <w:rsid w:val="005827D3"/>
    <w:rsid w:val="00585F93"/>
    <w:rsid w:val="00586DC6"/>
    <w:rsid w:val="0058788B"/>
    <w:rsid w:val="0058797E"/>
    <w:rsid w:val="0059728E"/>
    <w:rsid w:val="005A2D94"/>
    <w:rsid w:val="005A413B"/>
    <w:rsid w:val="005A4AA1"/>
    <w:rsid w:val="005A537A"/>
    <w:rsid w:val="005B1BBD"/>
    <w:rsid w:val="005B4112"/>
    <w:rsid w:val="005B5D4B"/>
    <w:rsid w:val="005C5643"/>
    <w:rsid w:val="005D4EBF"/>
    <w:rsid w:val="005D5AF7"/>
    <w:rsid w:val="005D5DE5"/>
    <w:rsid w:val="005D6A08"/>
    <w:rsid w:val="005D6B7D"/>
    <w:rsid w:val="005D766E"/>
    <w:rsid w:val="005E019B"/>
    <w:rsid w:val="005E32A8"/>
    <w:rsid w:val="005F4E0A"/>
    <w:rsid w:val="005F5955"/>
    <w:rsid w:val="00600F29"/>
    <w:rsid w:val="0060106B"/>
    <w:rsid w:val="006016DB"/>
    <w:rsid w:val="00606321"/>
    <w:rsid w:val="00607285"/>
    <w:rsid w:val="00612456"/>
    <w:rsid w:val="00614122"/>
    <w:rsid w:val="0061538A"/>
    <w:rsid w:val="006244FC"/>
    <w:rsid w:val="00627A95"/>
    <w:rsid w:val="00636660"/>
    <w:rsid w:val="006427FB"/>
    <w:rsid w:val="0064289D"/>
    <w:rsid w:val="00643BA7"/>
    <w:rsid w:val="00645548"/>
    <w:rsid w:val="0064618C"/>
    <w:rsid w:val="00662626"/>
    <w:rsid w:val="0067394E"/>
    <w:rsid w:val="0068387D"/>
    <w:rsid w:val="00683DCD"/>
    <w:rsid w:val="00693B46"/>
    <w:rsid w:val="006A0E4D"/>
    <w:rsid w:val="006A727D"/>
    <w:rsid w:val="006B4CC8"/>
    <w:rsid w:val="006C094A"/>
    <w:rsid w:val="006C0B5C"/>
    <w:rsid w:val="006C33A7"/>
    <w:rsid w:val="006C5C0B"/>
    <w:rsid w:val="006C5CCD"/>
    <w:rsid w:val="006C63CB"/>
    <w:rsid w:val="006D772A"/>
    <w:rsid w:val="006E20AF"/>
    <w:rsid w:val="006E2B6D"/>
    <w:rsid w:val="006E5360"/>
    <w:rsid w:val="007012CF"/>
    <w:rsid w:val="007052A5"/>
    <w:rsid w:val="00707B0D"/>
    <w:rsid w:val="00712F08"/>
    <w:rsid w:val="0071394B"/>
    <w:rsid w:val="00713EB7"/>
    <w:rsid w:val="0072311F"/>
    <w:rsid w:val="00732102"/>
    <w:rsid w:val="00732922"/>
    <w:rsid w:val="00734279"/>
    <w:rsid w:val="00736A64"/>
    <w:rsid w:val="00740FBA"/>
    <w:rsid w:val="007442EA"/>
    <w:rsid w:val="00744A1B"/>
    <w:rsid w:val="00745DC4"/>
    <w:rsid w:val="007661E3"/>
    <w:rsid w:val="00782B33"/>
    <w:rsid w:val="0078342A"/>
    <w:rsid w:val="00797D3A"/>
    <w:rsid w:val="007A3990"/>
    <w:rsid w:val="007B3FE0"/>
    <w:rsid w:val="007C30D7"/>
    <w:rsid w:val="007C67D1"/>
    <w:rsid w:val="007C76F6"/>
    <w:rsid w:val="007D20CB"/>
    <w:rsid w:val="007D7064"/>
    <w:rsid w:val="007E1C6F"/>
    <w:rsid w:val="007E7AB4"/>
    <w:rsid w:val="007F0047"/>
    <w:rsid w:val="007F24D2"/>
    <w:rsid w:val="007F2606"/>
    <w:rsid w:val="007F4380"/>
    <w:rsid w:val="007F6C9D"/>
    <w:rsid w:val="00810BE4"/>
    <w:rsid w:val="00815A19"/>
    <w:rsid w:val="008276CE"/>
    <w:rsid w:val="00827E05"/>
    <w:rsid w:val="00832BF5"/>
    <w:rsid w:val="008330C6"/>
    <w:rsid w:val="0084220B"/>
    <w:rsid w:val="00844293"/>
    <w:rsid w:val="00847F87"/>
    <w:rsid w:val="00853B23"/>
    <w:rsid w:val="00856927"/>
    <w:rsid w:val="008648C2"/>
    <w:rsid w:val="00870391"/>
    <w:rsid w:val="008829F2"/>
    <w:rsid w:val="00887CF5"/>
    <w:rsid w:val="00890724"/>
    <w:rsid w:val="00891C2C"/>
    <w:rsid w:val="008A5A5D"/>
    <w:rsid w:val="008A5B88"/>
    <w:rsid w:val="008A6482"/>
    <w:rsid w:val="008B39AE"/>
    <w:rsid w:val="008B4EBB"/>
    <w:rsid w:val="008B5175"/>
    <w:rsid w:val="008B5D03"/>
    <w:rsid w:val="008C7D2E"/>
    <w:rsid w:val="008D1736"/>
    <w:rsid w:val="008D3070"/>
    <w:rsid w:val="008E10D6"/>
    <w:rsid w:val="008E43C5"/>
    <w:rsid w:val="008F4A74"/>
    <w:rsid w:val="00900433"/>
    <w:rsid w:val="009029A7"/>
    <w:rsid w:val="009033FC"/>
    <w:rsid w:val="00904F4D"/>
    <w:rsid w:val="0090572C"/>
    <w:rsid w:val="009173A0"/>
    <w:rsid w:val="009245B4"/>
    <w:rsid w:val="00924889"/>
    <w:rsid w:val="009337B3"/>
    <w:rsid w:val="0094377D"/>
    <w:rsid w:val="0095306B"/>
    <w:rsid w:val="009608CA"/>
    <w:rsid w:val="00962EED"/>
    <w:rsid w:val="00966CE1"/>
    <w:rsid w:val="009704F8"/>
    <w:rsid w:val="00972871"/>
    <w:rsid w:val="00991571"/>
    <w:rsid w:val="00991A00"/>
    <w:rsid w:val="009A399B"/>
    <w:rsid w:val="009A5EE1"/>
    <w:rsid w:val="009A64D3"/>
    <w:rsid w:val="009A6505"/>
    <w:rsid w:val="009B216D"/>
    <w:rsid w:val="009B2840"/>
    <w:rsid w:val="009C078A"/>
    <w:rsid w:val="009D29E9"/>
    <w:rsid w:val="009D4BB8"/>
    <w:rsid w:val="009E3FD1"/>
    <w:rsid w:val="009E400B"/>
    <w:rsid w:val="009E4F04"/>
    <w:rsid w:val="009E4F8A"/>
    <w:rsid w:val="009F2A69"/>
    <w:rsid w:val="009F3996"/>
    <w:rsid w:val="00A02E6F"/>
    <w:rsid w:val="00A02F94"/>
    <w:rsid w:val="00A0308D"/>
    <w:rsid w:val="00A04005"/>
    <w:rsid w:val="00A040DB"/>
    <w:rsid w:val="00A04810"/>
    <w:rsid w:val="00A04E48"/>
    <w:rsid w:val="00A05C51"/>
    <w:rsid w:val="00A145E6"/>
    <w:rsid w:val="00A159B1"/>
    <w:rsid w:val="00A208DF"/>
    <w:rsid w:val="00A221E7"/>
    <w:rsid w:val="00A24AB8"/>
    <w:rsid w:val="00A347C8"/>
    <w:rsid w:val="00A36909"/>
    <w:rsid w:val="00A3747E"/>
    <w:rsid w:val="00A37FA4"/>
    <w:rsid w:val="00A4017B"/>
    <w:rsid w:val="00A4061B"/>
    <w:rsid w:val="00A42BE6"/>
    <w:rsid w:val="00A5109A"/>
    <w:rsid w:val="00A55BFD"/>
    <w:rsid w:val="00A6371A"/>
    <w:rsid w:val="00A64570"/>
    <w:rsid w:val="00A7141B"/>
    <w:rsid w:val="00A71E04"/>
    <w:rsid w:val="00A7267F"/>
    <w:rsid w:val="00A729AE"/>
    <w:rsid w:val="00A76609"/>
    <w:rsid w:val="00A8753C"/>
    <w:rsid w:val="00A90285"/>
    <w:rsid w:val="00AC7E83"/>
    <w:rsid w:val="00AD0062"/>
    <w:rsid w:val="00AD3604"/>
    <w:rsid w:val="00AD6E96"/>
    <w:rsid w:val="00AE4525"/>
    <w:rsid w:val="00AF0EBF"/>
    <w:rsid w:val="00AF19A6"/>
    <w:rsid w:val="00B06C92"/>
    <w:rsid w:val="00B108BE"/>
    <w:rsid w:val="00B10B36"/>
    <w:rsid w:val="00B1523B"/>
    <w:rsid w:val="00B17FA7"/>
    <w:rsid w:val="00B20136"/>
    <w:rsid w:val="00B2081A"/>
    <w:rsid w:val="00B22B9B"/>
    <w:rsid w:val="00B26EF0"/>
    <w:rsid w:val="00B32206"/>
    <w:rsid w:val="00B33660"/>
    <w:rsid w:val="00B3426E"/>
    <w:rsid w:val="00B36417"/>
    <w:rsid w:val="00B408A8"/>
    <w:rsid w:val="00B431F8"/>
    <w:rsid w:val="00B61C0C"/>
    <w:rsid w:val="00B65466"/>
    <w:rsid w:val="00B67FD4"/>
    <w:rsid w:val="00B75C27"/>
    <w:rsid w:val="00B77933"/>
    <w:rsid w:val="00B85ACC"/>
    <w:rsid w:val="00B85F13"/>
    <w:rsid w:val="00B909A4"/>
    <w:rsid w:val="00BA364E"/>
    <w:rsid w:val="00BB0A7A"/>
    <w:rsid w:val="00BB476F"/>
    <w:rsid w:val="00BB62A0"/>
    <w:rsid w:val="00BC0FB2"/>
    <w:rsid w:val="00BC4D6D"/>
    <w:rsid w:val="00BC5129"/>
    <w:rsid w:val="00BC51D8"/>
    <w:rsid w:val="00BC5BC3"/>
    <w:rsid w:val="00BD4DB7"/>
    <w:rsid w:val="00BD6CE0"/>
    <w:rsid w:val="00BE31CD"/>
    <w:rsid w:val="00BE7336"/>
    <w:rsid w:val="00BF334F"/>
    <w:rsid w:val="00C12E12"/>
    <w:rsid w:val="00C14289"/>
    <w:rsid w:val="00C14512"/>
    <w:rsid w:val="00C1601B"/>
    <w:rsid w:val="00C1720E"/>
    <w:rsid w:val="00C24803"/>
    <w:rsid w:val="00C25361"/>
    <w:rsid w:val="00C25F30"/>
    <w:rsid w:val="00C27D6A"/>
    <w:rsid w:val="00C30503"/>
    <w:rsid w:val="00C33696"/>
    <w:rsid w:val="00C40169"/>
    <w:rsid w:val="00C41029"/>
    <w:rsid w:val="00C51F3F"/>
    <w:rsid w:val="00C52DD4"/>
    <w:rsid w:val="00C762F2"/>
    <w:rsid w:val="00C90842"/>
    <w:rsid w:val="00CA4806"/>
    <w:rsid w:val="00CB2772"/>
    <w:rsid w:val="00CB4E7B"/>
    <w:rsid w:val="00CB737A"/>
    <w:rsid w:val="00CC4305"/>
    <w:rsid w:val="00CC48D7"/>
    <w:rsid w:val="00CC58A1"/>
    <w:rsid w:val="00CC61B1"/>
    <w:rsid w:val="00CC7570"/>
    <w:rsid w:val="00CE0E1F"/>
    <w:rsid w:val="00CE2D5E"/>
    <w:rsid w:val="00CE6392"/>
    <w:rsid w:val="00CF36FE"/>
    <w:rsid w:val="00D0071C"/>
    <w:rsid w:val="00D06BFC"/>
    <w:rsid w:val="00D07484"/>
    <w:rsid w:val="00D1005B"/>
    <w:rsid w:val="00D26916"/>
    <w:rsid w:val="00D32BD8"/>
    <w:rsid w:val="00D33D61"/>
    <w:rsid w:val="00D36833"/>
    <w:rsid w:val="00D426CC"/>
    <w:rsid w:val="00D516D5"/>
    <w:rsid w:val="00D57D5A"/>
    <w:rsid w:val="00D70ED7"/>
    <w:rsid w:val="00D73AAF"/>
    <w:rsid w:val="00D80910"/>
    <w:rsid w:val="00D9101C"/>
    <w:rsid w:val="00D91A5B"/>
    <w:rsid w:val="00D91CA0"/>
    <w:rsid w:val="00D9421B"/>
    <w:rsid w:val="00DA4EAE"/>
    <w:rsid w:val="00DA62D5"/>
    <w:rsid w:val="00DA665A"/>
    <w:rsid w:val="00DB6ABB"/>
    <w:rsid w:val="00DB730D"/>
    <w:rsid w:val="00DD4ED2"/>
    <w:rsid w:val="00DD77A7"/>
    <w:rsid w:val="00DE1054"/>
    <w:rsid w:val="00DE22F4"/>
    <w:rsid w:val="00DE4DDF"/>
    <w:rsid w:val="00DF1777"/>
    <w:rsid w:val="00DF4492"/>
    <w:rsid w:val="00DF650A"/>
    <w:rsid w:val="00E04BFB"/>
    <w:rsid w:val="00E0534C"/>
    <w:rsid w:val="00E10071"/>
    <w:rsid w:val="00E16246"/>
    <w:rsid w:val="00E16D5D"/>
    <w:rsid w:val="00E228BB"/>
    <w:rsid w:val="00E4170C"/>
    <w:rsid w:val="00E60524"/>
    <w:rsid w:val="00E60E6A"/>
    <w:rsid w:val="00E619B3"/>
    <w:rsid w:val="00E61A5A"/>
    <w:rsid w:val="00E64A9E"/>
    <w:rsid w:val="00E65073"/>
    <w:rsid w:val="00E71868"/>
    <w:rsid w:val="00E76DC0"/>
    <w:rsid w:val="00E77B9E"/>
    <w:rsid w:val="00E8725D"/>
    <w:rsid w:val="00E96F3B"/>
    <w:rsid w:val="00EA3329"/>
    <w:rsid w:val="00EA7805"/>
    <w:rsid w:val="00EB031D"/>
    <w:rsid w:val="00EB05E8"/>
    <w:rsid w:val="00EB2DF2"/>
    <w:rsid w:val="00EB31C8"/>
    <w:rsid w:val="00EB3B2F"/>
    <w:rsid w:val="00EC20F9"/>
    <w:rsid w:val="00EC6D53"/>
    <w:rsid w:val="00ED389B"/>
    <w:rsid w:val="00EE2FFE"/>
    <w:rsid w:val="00EF3962"/>
    <w:rsid w:val="00F0044B"/>
    <w:rsid w:val="00F00645"/>
    <w:rsid w:val="00F01599"/>
    <w:rsid w:val="00F01796"/>
    <w:rsid w:val="00F15028"/>
    <w:rsid w:val="00F16BE5"/>
    <w:rsid w:val="00F16F4F"/>
    <w:rsid w:val="00F253E5"/>
    <w:rsid w:val="00F25D19"/>
    <w:rsid w:val="00F27986"/>
    <w:rsid w:val="00F46727"/>
    <w:rsid w:val="00F477AF"/>
    <w:rsid w:val="00F67018"/>
    <w:rsid w:val="00F76189"/>
    <w:rsid w:val="00F7688C"/>
    <w:rsid w:val="00F83F7E"/>
    <w:rsid w:val="00F8780C"/>
    <w:rsid w:val="00F901BF"/>
    <w:rsid w:val="00F93822"/>
    <w:rsid w:val="00F9398B"/>
    <w:rsid w:val="00FA2DEA"/>
    <w:rsid w:val="00FA341A"/>
    <w:rsid w:val="00FA4DC1"/>
    <w:rsid w:val="00FB1EBF"/>
    <w:rsid w:val="00FB2029"/>
    <w:rsid w:val="00FC79D3"/>
    <w:rsid w:val="00FD0603"/>
    <w:rsid w:val="00FD3B61"/>
    <w:rsid w:val="00FD44CE"/>
    <w:rsid w:val="00FD77A0"/>
    <w:rsid w:val="00FE75A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DC4"/>
    <w:pPr>
      <w:spacing w:after="200" w:line="276" w:lineRule="auto"/>
    </w:pPr>
    <w:rPr>
      <w:rFonts w:asciiTheme="minorHAnsi" w:eastAsiaTheme="minorHAnsi" w:hAnsiTheme="minorHAnsi" w:cstheme="minorBidi"/>
      <w:sz w:val="22"/>
      <w:szCs w:val="22"/>
      <w:lang w:val="es-ES" w:eastAsia="en-US"/>
    </w:rPr>
  </w:style>
  <w:style w:type="paragraph" w:styleId="Heading1">
    <w:name w:val="heading 1"/>
    <w:basedOn w:val="Normal"/>
    <w:next w:val="Normalnumber"/>
    <w:qFormat/>
    <w:rsid w:val="002A5A9A"/>
    <w:pPr>
      <w:keepNext/>
      <w:spacing w:before="240" w:after="120"/>
      <w:ind w:left="1247" w:hanging="680"/>
      <w:outlineLvl w:val="0"/>
    </w:pPr>
    <w:rPr>
      <w:b/>
      <w:sz w:val="28"/>
    </w:rPr>
  </w:style>
  <w:style w:type="paragraph" w:styleId="Heading2">
    <w:name w:val="heading 2"/>
    <w:basedOn w:val="Normal"/>
    <w:next w:val="Normalnumber"/>
    <w:qFormat/>
    <w:rsid w:val="002A5A9A"/>
    <w:pPr>
      <w:keepNext/>
      <w:spacing w:before="240" w:after="120"/>
      <w:ind w:left="1247" w:hanging="680"/>
      <w:outlineLvl w:val="1"/>
    </w:pPr>
    <w:rPr>
      <w:b/>
    </w:rPr>
  </w:style>
  <w:style w:type="paragraph" w:styleId="Heading3">
    <w:name w:val="heading 3"/>
    <w:basedOn w:val="Normal"/>
    <w:next w:val="Normalnumber"/>
    <w:qFormat/>
    <w:rsid w:val="002A5A9A"/>
    <w:pPr>
      <w:spacing w:after="120"/>
      <w:ind w:left="1247" w:hanging="680"/>
      <w:outlineLvl w:val="2"/>
    </w:pPr>
    <w:rPr>
      <w:b/>
    </w:rPr>
  </w:style>
  <w:style w:type="paragraph" w:styleId="Heading4">
    <w:name w:val="heading 4"/>
    <w:basedOn w:val="Heading3"/>
    <w:next w:val="Normalnumber"/>
    <w:qFormat/>
    <w:rsid w:val="002A5A9A"/>
    <w:pPr>
      <w:keepNext/>
      <w:outlineLvl w:val="3"/>
    </w:pPr>
  </w:style>
  <w:style w:type="paragraph" w:styleId="Heading5">
    <w:name w:val="heading 5"/>
    <w:basedOn w:val="Normal"/>
    <w:next w:val="Normal"/>
    <w:qFormat/>
    <w:rsid w:val="002A5A9A"/>
    <w:pPr>
      <w:keepNext/>
      <w:outlineLvl w:val="4"/>
    </w:pPr>
    <w:rPr>
      <w:rFonts w:ascii="Univers" w:hAnsi="Univers"/>
      <w:b/>
    </w:rPr>
  </w:style>
  <w:style w:type="paragraph" w:styleId="Heading6">
    <w:name w:val="heading 6"/>
    <w:basedOn w:val="Normal"/>
    <w:next w:val="Normal"/>
    <w:qFormat/>
    <w:rsid w:val="002A5A9A"/>
    <w:pPr>
      <w:keepNext/>
      <w:ind w:left="578"/>
      <w:outlineLvl w:val="5"/>
    </w:pPr>
    <w:rPr>
      <w:b/>
      <w:bCs/>
    </w:rPr>
  </w:style>
  <w:style w:type="paragraph" w:styleId="Heading7">
    <w:name w:val="heading 7"/>
    <w:basedOn w:val="Normal"/>
    <w:next w:val="Normal"/>
    <w:qFormat/>
    <w:rsid w:val="002A5A9A"/>
    <w:pPr>
      <w:keepNext/>
      <w:widowControl w:val="0"/>
      <w:jc w:val="center"/>
      <w:outlineLvl w:val="6"/>
    </w:pPr>
    <w:rPr>
      <w:snapToGrid w:val="0"/>
      <w:u w:val="single"/>
    </w:rPr>
  </w:style>
  <w:style w:type="paragraph" w:styleId="Heading8">
    <w:name w:val="heading 8"/>
    <w:basedOn w:val="Normal"/>
    <w:next w:val="Normal"/>
    <w:qFormat/>
    <w:rsid w:val="002A5A9A"/>
    <w:pPr>
      <w:keepNext/>
      <w:widowControl w:val="0"/>
      <w:numPr>
        <w:numId w:val="1"/>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2A5A9A"/>
    <w:pPr>
      <w:keepNext/>
      <w:widowControl w:val="0"/>
      <w:numPr>
        <w:numId w:val="2"/>
      </w:numPr>
      <w:suppressAutoHyphens/>
      <w:jc w:val="center"/>
      <w:outlineLvl w:val="8"/>
    </w:pPr>
    <w:rPr>
      <w:snapToGrid w:val="0"/>
      <w:u w:val="single"/>
    </w:rPr>
  </w:style>
  <w:style w:type="character" w:default="1" w:styleId="DefaultParagraphFont">
    <w:name w:val="Default Paragraph Font"/>
    <w:uiPriority w:val="1"/>
    <w:semiHidden/>
    <w:unhideWhenUsed/>
    <w:rsid w:val="00745D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DC4"/>
  </w:style>
  <w:style w:type="character" w:styleId="PageNumber">
    <w:name w:val="page number"/>
    <w:rsid w:val="002A5A9A"/>
    <w:rPr>
      <w:rFonts w:ascii="Times New Roman" w:hAnsi="Times New Roman"/>
      <w:b/>
      <w:sz w:val="18"/>
    </w:rPr>
  </w:style>
  <w:style w:type="table" w:customStyle="1" w:styleId="Tabledocright">
    <w:name w:val="Table_doc_right"/>
    <w:basedOn w:val="TableNormal"/>
    <w:rsid w:val="002A5A9A"/>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2A5A9A"/>
    <w:pPr>
      <w:ind w:left="1000"/>
    </w:pPr>
    <w:rPr>
      <w:sz w:val="18"/>
      <w:szCs w:val="18"/>
    </w:rPr>
  </w:style>
  <w:style w:type="paragraph" w:styleId="TOC7">
    <w:name w:val="toc 7"/>
    <w:basedOn w:val="Normal"/>
    <w:next w:val="Normal"/>
    <w:autoRedefine/>
    <w:semiHidden/>
    <w:rsid w:val="002A5A9A"/>
    <w:pPr>
      <w:ind w:left="1200"/>
    </w:pPr>
    <w:rPr>
      <w:sz w:val="18"/>
      <w:szCs w:val="18"/>
    </w:rPr>
  </w:style>
  <w:style w:type="paragraph" w:styleId="TOC8">
    <w:name w:val="toc 8"/>
    <w:basedOn w:val="Normal"/>
    <w:next w:val="Normal"/>
    <w:autoRedefine/>
    <w:semiHidden/>
    <w:rsid w:val="002A5A9A"/>
    <w:pPr>
      <w:ind w:left="1400"/>
    </w:pPr>
    <w:rPr>
      <w:sz w:val="18"/>
      <w:szCs w:val="18"/>
    </w:rPr>
  </w:style>
  <w:style w:type="paragraph" w:styleId="TOC9">
    <w:name w:val="toc 9"/>
    <w:basedOn w:val="Normal"/>
    <w:next w:val="Normal"/>
    <w:autoRedefine/>
    <w:semiHidden/>
    <w:rsid w:val="002A5A9A"/>
    <w:pPr>
      <w:ind w:left="1600"/>
    </w:pPr>
    <w:rPr>
      <w:sz w:val="18"/>
      <w:szCs w:val="18"/>
    </w:rPr>
  </w:style>
  <w:style w:type="paragraph" w:customStyle="1" w:styleId="Titlefigure">
    <w:name w:val="Title_figure"/>
    <w:basedOn w:val="Titletable"/>
    <w:next w:val="NormalNonumber"/>
    <w:rsid w:val="002A5A9A"/>
    <w:rPr>
      <w:bCs w:val="0"/>
    </w:rPr>
  </w:style>
  <w:style w:type="paragraph" w:styleId="TableofFigures">
    <w:name w:val="table of figures"/>
    <w:basedOn w:val="Normal"/>
    <w:next w:val="Normal"/>
    <w:autoRedefine/>
    <w:semiHidden/>
    <w:rsid w:val="002A5A9A"/>
    <w:pPr>
      <w:ind w:left="1814" w:hanging="567"/>
    </w:pPr>
  </w:style>
  <w:style w:type="paragraph" w:customStyle="1" w:styleId="CH1">
    <w:name w:val="CH1"/>
    <w:basedOn w:val="Normal-pool"/>
    <w:next w:val="CH2"/>
    <w:rsid w:val="002A5A9A"/>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rsid w:val="002A5A9A"/>
    <w:pPr>
      <w:keepNext/>
      <w:keepLines/>
      <w:tabs>
        <w:tab w:val="right" w:pos="851"/>
      </w:tabs>
      <w:suppressAutoHyphens/>
      <w:spacing w:before="120" w:after="120"/>
      <w:ind w:left="1247" w:right="284" w:hanging="1247"/>
    </w:pPr>
    <w:rPr>
      <w:b/>
      <w:sz w:val="24"/>
      <w:szCs w:val="24"/>
    </w:rPr>
  </w:style>
  <w:style w:type="paragraph" w:customStyle="1" w:styleId="CH3">
    <w:name w:val="CH3"/>
    <w:basedOn w:val="Normal-pool"/>
    <w:next w:val="Normalnumber"/>
    <w:rsid w:val="002A5A9A"/>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2A5A9A"/>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2A5A9A"/>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semiHidden/>
    <w:rsid w:val="002A5A9A"/>
    <w:pPr>
      <w:keepNext/>
      <w:keepLines/>
      <w:tabs>
        <w:tab w:val="right" w:pos="851"/>
      </w:tabs>
      <w:suppressAutoHyphens/>
      <w:spacing w:after="120"/>
      <w:ind w:left="1247" w:right="284" w:hanging="1247"/>
    </w:pPr>
    <w:rPr>
      <w:b/>
    </w:rPr>
  </w:style>
  <w:style w:type="paragraph" w:styleId="NormalIndent">
    <w:name w:val="Normal Indent"/>
    <w:basedOn w:val="Normal"/>
    <w:semiHidden/>
    <w:rsid w:val="002A5A9A"/>
    <w:pPr>
      <w:ind w:left="1247"/>
    </w:pPr>
  </w:style>
  <w:style w:type="paragraph" w:customStyle="1" w:styleId="Normal-pool">
    <w:name w:val="Normal-pool"/>
    <w:link w:val="Normal-poolChar"/>
    <w:rsid w:val="002A5A9A"/>
    <w:pPr>
      <w:tabs>
        <w:tab w:val="left" w:pos="1247"/>
        <w:tab w:val="left" w:pos="1814"/>
        <w:tab w:val="left" w:pos="2381"/>
        <w:tab w:val="left" w:pos="2948"/>
        <w:tab w:val="left" w:pos="3515"/>
      </w:tabs>
    </w:pPr>
    <w:rPr>
      <w:lang w:val="en-GB" w:eastAsia="en-US"/>
    </w:rPr>
  </w:style>
  <w:style w:type="table" w:styleId="TableGrid">
    <w:name w:val="Table Grid"/>
    <w:basedOn w:val="TableNormal"/>
    <w:rsid w:val="002A5A9A"/>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2A5A9A"/>
    <w:pPr>
      <w:spacing w:before="240" w:after="240"/>
      <w:ind w:left="1253" w:right="562"/>
      <w:outlineLvl w:val="0"/>
    </w:pPr>
    <w:rPr>
      <w:b/>
      <w:bCs/>
      <w:kern w:val="28"/>
      <w:sz w:val="28"/>
      <w:szCs w:val="28"/>
    </w:rPr>
  </w:style>
  <w:style w:type="paragraph" w:styleId="BalloonText">
    <w:name w:val="Balloon Text"/>
    <w:basedOn w:val="Normal"/>
    <w:link w:val="BalloonTextChar"/>
    <w:rsid w:val="009E7191"/>
    <w:rPr>
      <w:rFonts w:ascii="Tahoma" w:hAnsi="Tahoma"/>
      <w:sz w:val="16"/>
      <w:szCs w:val="16"/>
    </w:rPr>
  </w:style>
  <w:style w:type="character" w:customStyle="1" w:styleId="BalloonTextChar">
    <w:name w:val="Balloon Text Char"/>
    <w:link w:val="BalloonText"/>
    <w:rsid w:val="009E7191"/>
    <w:rPr>
      <w:rFonts w:ascii="Tahoma" w:hAnsi="Tahoma" w:cs="Tahoma"/>
      <w:sz w:val="16"/>
      <w:szCs w:val="16"/>
      <w:lang w:eastAsia="en-US"/>
    </w:rPr>
  </w:style>
  <w:style w:type="character" w:styleId="FootnoteReference">
    <w:name w:val="footnote reference"/>
    <w:aliases w:val="16 Point,Superscript 6 Point,ftref,(Ref. de nota al pie),number,SUPERS,Footnote Reference Superscript,Ref,de nota al pie,註腳內容,de nota al pie + (Asian) MS Mincho,Footnote Reference S"/>
    <w:rsid w:val="002A5A9A"/>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pool"/>
    <w:link w:val="FootnoteTextChar"/>
    <w:rsid w:val="002A5A9A"/>
    <w:pPr>
      <w:spacing w:before="20" w:after="40"/>
      <w:ind w:left="1247"/>
    </w:pPr>
    <w:rPr>
      <w:sz w:val="18"/>
    </w:rPr>
  </w:style>
  <w:style w:type="character" w:styleId="CommentReference">
    <w:name w:val="annotation reference"/>
    <w:uiPriority w:val="99"/>
    <w:rsid w:val="0017454A"/>
    <w:rPr>
      <w:sz w:val="16"/>
      <w:szCs w:val="16"/>
    </w:rPr>
  </w:style>
  <w:style w:type="paragraph" w:styleId="CommentText">
    <w:name w:val="annotation text"/>
    <w:basedOn w:val="Normal"/>
    <w:link w:val="CommentTextChar"/>
    <w:uiPriority w:val="99"/>
    <w:rsid w:val="0017454A"/>
  </w:style>
  <w:style w:type="character" w:customStyle="1" w:styleId="CommentTextChar">
    <w:name w:val="Comment Text Char"/>
    <w:link w:val="CommentText"/>
    <w:uiPriority w:val="99"/>
    <w:rsid w:val="0017454A"/>
    <w:rPr>
      <w:lang w:eastAsia="en-US"/>
    </w:rPr>
  </w:style>
  <w:style w:type="paragraph" w:styleId="CommentSubject">
    <w:name w:val="annotation subject"/>
    <w:basedOn w:val="CommentText"/>
    <w:next w:val="CommentText"/>
    <w:link w:val="CommentSubjectChar"/>
    <w:rsid w:val="0017454A"/>
    <w:rPr>
      <w:b/>
      <w:bCs/>
    </w:rPr>
  </w:style>
  <w:style w:type="character" w:customStyle="1" w:styleId="CommentSubjectChar">
    <w:name w:val="Comment Subject Char"/>
    <w:link w:val="CommentSubject"/>
    <w:rsid w:val="0017454A"/>
    <w:rPr>
      <w:b/>
      <w:bCs/>
      <w:lang w:eastAsia="en-US"/>
    </w:rPr>
  </w:style>
  <w:style w:type="character" w:customStyle="1" w:styleId="HeaderChar">
    <w:name w:val="Header Char"/>
    <w:link w:val="Header"/>
    <w:uiPriority w:val="99"/>
    <w:rsid w:val="00F872AA"/>
    <w:rPr>
      <w:b/>
      <w:sz w:val="18"/>
      <w:lang w:eastAsia="en-US"/>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rsid w:val="00F872AA"/>
    <w:rPr>
      <w:sz w:val="18"/>
      <w:lang w:eastAsia="en-US"/>
    </w:rPr>
  </w:style>
  <w:style w:type="character" w:customStyle="1" w:styleId="NormalnumberChar">
    <w:name w:val="Normal_number Char"/>
    <w:link w:val="Normalnumber"/>
    <w:rsid w:val="005067E0"/>
    <w:rPr>
      <w:lang w:val="en-GB" w:eastAsia="en-US"/>
    </w:rPr>
  </w:style>
  <w:style w:type="paragraph" w:styleId="DocumentMap">
    <w:name w:val="Document Map"/>
    <w:basedOn w:val="Normal"/>
    <w:link w:val="DocumentMapChar"/>
    <w:rsid w:val="00B22096"/>
    <w:rPr>
      <w:rFonts w:ascii="Lucida Grande" w:hAnsi="Lucida Grande"/>
    </w:rPr>
  </w:style>
  <w:style w:type="character" w:customStyle="1" w:styleId="DocumentMapChar">
    <w:name w:val="Document Map Char"/>
    <w:link w:val="DocumentMap"/>
    <w:rsid w:val="00B22096"/>
    <w:rPr>
      <w:rFonts w:ascii="Lucida Grande" w:hAnsi="Lucida Grande"/>
      <w:sz w:val="24"/>
      <w:szCs w:val="24"/>
      <w:lang w:val="en-GB"/>
    </w:rPr>
  </w:style>
  <w:style w:type="paragraph" w:customStyle="1" w:styleId="Paralevel1Char">
    <w:name w:val="Para level1 Char"/>
    <w:basedOn w:val="Normal"/>
    <w:rsid w:val="00E228BB"/>
    <w:pPr>
      <w:keepLines/>
      <w:widowControl w:val="0"/>
      <w:numPr>
        <w:numId w:val="4"/>
      </w:numPr>
      <w:spacing w:after="120"/>
    </w:pPr>
    <w:rPr>
      <w:rFonts w:eastAsia="MS Mincho"/>
    </w:rPr>
  </w:style>
  <w:style w:type="character" w:customStyle="1" w:styleId="CH2Char">
    <w:name w:val="CH2 Char"/>
    <w:link w:val="CH2"/>
    <w:locked/>
    <w:rsid w:val="00E619B3"/>
    <w:rPr>
      <w:b/>
      <w:sz w:val="24"/>
      <w:szCs w:val="24"/>
      <w:lang w:eastAsia="en-US"/>
    </w:rPr>
  </w:style>
  <w:style w:type="paragraph" w:customStyle="1" w:styleId="Sombreadomulticolor-nfasis11">
    <w:name w:val="Sombreado multicolor - Énfasis 11"/>
    <w:hidden/>
    <w:rsid w:val="00F93822"/>
    <w:rPr>
      <w:lang w:val="en-GB" w:eastAsia="en-US"/>
    </w:rPr>
  </w:style>
  <w:style w:type="paragraph" w:customStyle="1" w:styleId="Default">
    <w:name w:val="Default"/>
    <w:rsid w:val="003A1947"/>
    <w:pPr>
      <w:autoSpaceDE w:val="0"/>
      <w:autoSpaceDN w:val="0"/>
      <w:adjustRightInd w:val="0"/>
    </w:pPr>
    <w:rPr>
      <w:color w:val="000000"/>
      <w:sz w:val="24"/>
      <w:szCs w:val="24"/>
      <w:lang w:val="en-GB" w:eastAsia="zh-CN"/>
    </w:rPr>
  </w:style>
  <w:style w:type="table" w:customStyle="1" w:styleId="AATable">
    <w:name w:val="AA_Table"/>
    <w:basedOn w:val="TableNormal"/>
    <w:rsid w:val="002A5A9A"/>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Autospacing="0" w:afterLines="0" w:afterAutospacing="0"/>
        <w:contextualSpacing w:val="0"/>
        <w:jc w:val="left"/>
      </w:pPr>
      <w:rPr>
        <w:rFonts w:ascii="Symbol" w:hAnsi="Symbol"/>
        <w:b/>
        <w:i w:val="0"/>
        <w:caps/>
        <w:smallCaps w:val="0"/>
        <w:color w:val="auto"/>
        <w:sz w:val="27"/>
        <w:szCs w:val="27"/>
      </w:rPr>
    </w:tblStylePr>
    <w:tblStylePr w:type="lastRow">
      <w:pPr>
        <w:wordWrap/>
        <w:spacing w:beforeLines="0" w:beforeAutospacing="0" w:afterLines="0" w:afterAutospacing="0"/>
        <w:ind w:rightChars="0" w:right="567"/>
        <w:contextualSpacing w:val="0"/>
      </w:pPr>
      <w:rPr>
        <w:rFonts w:ascii="Symbol" w:hAnsi="Symbol"/>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Autospacing="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Autospacing="0" w:afterLines="0" w:afterAutospacing="0"/>
        <w:contextualSpacing w:val="0"/>
        <w:jc w:val="right"/>
      </w:pPr>
      <w:rPr>
        <w:rFonts w:ascii="Symbol" w:hAnsi="Symbol"/>
        <w:b/>
        <w:i w:val="0"/>
        <w:color w:val="auto"/>
        <w:sz w:val="64"/>
        <w:szCs w:val="64"/>
      </w:rPr>
    </w:tblStylePr>
    <w:tblStylePr w:type="nwCell">
      <w:rPr>
        <w:rFonts w:ascii="Symbol" w:hAnsi="Symbol"/>
        <w:b/>
        <w:i w:val="0"/>
        <w:caps/>
        <w:smallCaps w:val="0"/>
        <w:color w:val="auto"/>
        <w:sz w:val="27"/>
        <w:szCs w:val="27"/>
      </w:rPr>
    </w:tblStylePr>
    <w:tblStylePr w:type="seCell">
      <w:pPr>
        <w:wordWrap/>
        <w:spacing w:beforeLines="0" w:beforeAutospacing="0" w:afterLines="0" w:afterAutospacing="0"/>
        <w:ind w:leftChars="0" w:left="0" w:rightChars="0" w:right="0"/>
        <w:contextualSpacing w:val="0"/>
      </w:pPr>
      <w:rPr>
        <w:rFonts w:ascii="Times New Roman" w:hAnsi="Times New Roman"/>
        <w:b w:val="0"/>
        <w:sz w:val="20"/>
      </w:rPr>
    </w:tblStylePr>
    <w:tblStylePr w:type="swCell">
      <w:pPr>
        <w:wordWrap/>
        <w:spacing w:afterLines="0" w:afterAutospacing="0"/>
        <w:ind w:rightChars="0" w:right="0"/>
      </w:pPr>
      <w:rPr>
        <w:rFonts w:ascii="Times New Roman" w:hAnsi="Times New Roman"/>
      </w:rPr>
    </w:tblStylePr>
  </w:style>
  <w:style w:type="paragraph" w:customStyle="1" w:styleId="AATitle">
    <w:name w:val="AA_Title"/>
    <w:basedOn w:val="Normal-pool"/>
    <w:rsid w:val="002A5A9A"/>
    <w:pPr>
      <w:keepNext/>
      <w:keepLines/>
      <w:suppressAutoHyphens/>
      <w:ind w:right="3402"/>
    </w:pPr>
    <w:rPr>
      <w:b/>
    </w:rPr>
  </w:style>
  <w:style w:type="paragraph" w:customStyle="1" w:styleId="AATitle2">
    <w:name w:val="AA_Title2"/>
    <w:basedOn w:val="AATitle"/>
    <w:rsid w:val="002A5A9A"/>
    <w:pPr>
      <w:spacing w:before="120" w:after="120"/>
      <w:ind w:right="1701"/>
    </w:pPr>
  </w:style>
  <w:style w:type="paragraph" w:customStyle="1" w:styleId="BBTitle">
    <w:name w:val="BB_Title"/>
    <w:basedOn w:val="Normal-pool"/>
    <w:rsid w:val="002A5A9A"/>
    <w:pPr>
      <w:keepNext/>
      <w:keepLines/>
      <w:suppressAutoHyphens/>
      <w:spacing w:before="320" w:after="240"/>
      <w:ind w:left="1247" w:right="567"/>
    </w:pPr>
    <w:rPr>
      <w:b/>
      <w:sz w:val="28"/>
      <w:szCs w:val="28"/>
    </w:rPr>
  </w:style>
  <w:style w:type="paragraph" w:styleId="Footer">
    <w:name w:val="footer"/>
    <w:basedOn w:val="Normal-pool"/>
    <w:rsid w:val="002A5A9A"/>
    <w:pPr>
      <w:tabs>
        <w:tab w:val="center" w:pos="4320"/>
        <w:tab w:val="right" w:pos="8640"/>
      </w:tabs>
      <w:spacing w:before="60" w:after="120"/>
    </w:pPr>
    <w:rPr>
      <w:sz w:val="18"/>
    </w:rPr>
  </w:style>
  <w:style w:type="paragraph" w:styleId="Header">
    <w:name w:val="header"/>
    <w:basedOn w:val="Normal-pool"/>
    <w:link w:val="HeaderChar"/>
    <w:uiPriority w:val="99"/>
    <w:rsid w:val="002A5A9A"/>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2A5A9A"/>
    <w:rPr>
      <w:rFonts w:ascii="Times New Roman" w:hAnsi="Times New Roman"/>
      <w:color w:val="auto"/>
      <w:sz w:val="20"/>
      <w:szCs w:val="20"/>
      <w:u w:val="none"/>
      <w:lang w:val="fr-FR"/>
    </w:rPr>
  </w:style>
  <w:style w:type="numbering" w:customStyle="1" w:styleId="Normallist">
    <w:name w:val="Normal_list"/>
    <w:basedOn w:val="NoList"/>
    <w:rsid w:val="002A5A9A"/>
    <w:pPr>
      <w:numPr>
        <w:numId w:val="3"/>
      </w:numPr>
    </w:pPr>
  </w:style>
  <w:style w:type="paragraph" w:customStyle="1" w:styleId="NormalNonumber">
    <w:name w:val="Normal_No_number"/>
    <w:basedOn w:val="Normal-pool"/>
    <w:autoRedefine/>
    <w:rsid w:val="008F4A74"/>
    <w:pPr>
      <w:tabs>
        <w:tab w:val="clear" w:pos="1247"/>
        <w:tab w:val="clear" w:pos="1814"/>
        <w:tab w:val="clear" w:pos="2381"/>
        <w:tab w:val="clear" w:pos="2948"/>
        <w:tab w:val="clear" w:pos="3515"/>
      </w:tabs>
      <w:spacing w:after="240"/>
      <w:ind w:left="1247"/>
    </w:pPr>
    <w:rPr>
      <w:rFonts w:eastAsia="MS Mincho"/>
      <w:b/>
      <w:lang w:val="es-ES_tradnl"/>
    </w:rPr>
  </w:style>
  <w:style w:type="paragraph" w:customStyle="1" w:styleId="Normalnumber">
    <w:name w:val="Normal_number"/>
    <w:basedOn w:val="Normal-pool"/>
    <w:link w:val="NormalnumberChar"/>
    <w:rsid w:val="002A5A9A"/>
    <w:pPr>
      <w:numPr>
        <w:numId w:val="5"/>
      </w:numPr>
      <w:spacing w:after="120"/>
    </w:pPr>
  </w:style>
  <w:style w:type="paragraph" w:customStyle="1" w:styleId="Titletable">
    <w:name w:val="Title_table"/>
    <w:basedOn w:val="Normal-pool"/>
    <w:next w:val="NormalNonumber"/>
    <w:rsid w:val="002A5A9A"/>
    <w:pPr>
      <w:keepNext/>
      <w:keepLines/>
      <w:suppressAutoHyphens/>
      <w:spacing w:after="60"/>
      <w:ind w:left="1247"/>
    </w:pPr>
    <w:rPr>
      <w:b/>
      <w:bCs/>
    </w:rPr>
  </w:style>
  <w:style w:type="paragraph" w:styleId="TOC1">
    <w:name w:val="toc 1"/>
    <w:basedOn w:val="Normal-pool"/>
    <w:next w:val="Normal-pool"/>
    <w:rsid w:val="002A5A9A"/>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rsid w:val="002A5A9A"/>
    <w:pPr>
      <w:tabs>
        <w:tab w:val="clear" w:pos="1814"/>
        <w:tab w:val="clear" w:pos="2948"/>
        <w:tab w:val="clear" w:pos="3515"/>
        <w:tab w:val="right" w:leader="dot" w:pos="9486"/>
      </w:tabs>
      <w:ind w:left="2381" w:hanging="567"/>
    </w:pPr>
  </w:style>
  <w:style w:type="paragraph" w:styleId="TOC3">
    <w:name w:val="toc 3"/>
    <w:basedOn w:val="Normal-pool"/>
    <w:next w:val="Normal-pool"/>
    <w:rsid w:val="002A5A9A"/>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2A5A9A"/>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2A5A9A"/>
    <w:pPr>
      <w:ind w:left="800"/>
    </w:pPr>
    <w:rPr>
      <w:sz w:val="18"/>
      <w:szCs w:val="18"/>
    </w:rPr>
  </w:style>
  <w:style w:type="paragraph" w:customStyle="1" w:styleId="ZZAnxheader">
    <w:name w:val="ZZ_Anx_header"/>
    <w:basedOn w:val="Normal-pool"/>
    <w:rsid w:val="002A5A9A"/>
    <w:rPr>
      <w:b/>
      <w:bCs/>
      <w:sz w:val="28"/>
      <w:szCs w:val="22"/>
    </w:rPr>
  </w:style>
  <w:style w:type="paragraph" w:customStyle="1" w:styleId="ZZAnxtitle">
    <w:name w:val="ZZ_Anx_title"/>
    <w:basedOn w:val="Normal-pool"/>
    <w:rsid w:val="002A5A9A"/>
    <w:pPr>
      <w:spacing w:before="360" w:after="120"/>
      <w:ind w:left="1247"/>
    </w:pPr>
    <w:rPr>
      <w:b/>
      <w:bCs/>
      <w:sz w:val="28"/>
      <w:szCs w:val="26"/>
    </w:rPr>
  </w:style>
  <w:style w:type="paragraph" w:customStyle="1" w:styleId="Listamulticolor-nfasis11">
    <w:name w:val="Lista multicolor - Énfasis 11"/>
    <w:basedOn w:val="Normal"/>
    <w:qFormat/>
    <w:rsid w:val="00E16246"/>
    <w:pPr>
      <w:ind w:left="720"/>
      <w:contextualSpacing/>
    </w:pPr>
  </w:style>
  <w:style w:type="paragraph" w:customStyle="1" w:styleId="Bullets">
    <w:name w:val="Bullets"/>
    <w:basedOn w:val="Normal"/>
    <w:rsid w:val="002F3F59"/>
    <w:pPr>
      <w:numPr>
        <w:numId w:val="7"/>
      </w:numPr>
    </w:pPr>
    <w:rPr>
      <w:rFonts w:ascii="Cambria" w:eastAsia="Cambria" w:hAnsi="Cambria" w:cs="Times New Roman"/>
      <w:lang w:val="en-GB"/>
    </w:rPr>
  </w:style>
  <w:style w:type="character" w:customStyle="1" w:styleId="Normal-poolChar">
    <w:name w:val="Normal-pool Char"/>
    <w:link w:val="Normal-pool"/>
    <w:locked/>
    <w:rsid w:val="00BD6CE0"/>
    <w:rPr>
      <w:lang w:val="en-GB" w:eastAsia="en-US"/>
    </w:rPr>
  </w:style>
  <w:style w:type="character" w:customStyle="1" w:styleId="preferred">
    <w:name w:val="preferred"/>
    <w:basedOn w:val="DefaultParagraphFont"/>
    <w:rsid w:val="008E43C5"/>
  </w:style>
  <w:style w:type="paragraph" w:customStyle="1" w:styleId="Style1">
    <w:name w:val="Style1"/>
    <w:basedOn w:val="NormalNonumber"/>
    <w:rsid w:val="008F4A74"/>
  </w:style>
  <w:style w:type="paragraph" w:customStyle="1" w:styleId="Style2">
    <w:name w:val="Style2"/>
    <w:basedOn w:val="NormalNonumber"/>
    <w:rsid w:val="008F4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DC4"/>
    <w:pPr>
      <w:spacing w:after="200" w:line="276" w:lineRule="auto"/>
    </w:pPr>
    <w:rPr>
      <w:rFonts w:asciiTheme="minorHAnsi" w:eastAsiaTheme="minorHAnsi" w:hAnsiTheme="minorHAnsi" w:cstheme="minorBidi"/>
      <w:sz w:val="22"/>
      <w:szCs w:val="22"/>
      <w:lang w:val="es-ES" w:eastAsia="en-US"/>
    </w:rPr>
  </w:style>
  <w:style w:type="paragraph" w:styleId="Heading1">
    <w:name w:val="heading 1"/>
    <w:basedOn w:val="Normal"/>
    <w:next w:val="Normalnumber"/>
    <w:qFormat/>
    <w:rsid w:val="002A5A9A"/>
    <w:pPr>
      <w:keepNext/>
      <w:spacing w:before="240" w:after="120"/>
      <w:ind w:left="1247" w:hanging="680"/>
      <w:outlineLvl w:val="0"/>
    </w:pPr>
    <w:rPr>
      <w:b/>
      <w:sz w:val="28"/>
    </w:rPr>
  </w:style>
  <w:style w:type="paragraph" w:styleId="Heading2">
    <w:name w:val="heading 2"/>
    <w:basedOn w:val="Normal"/>
    <w:next w:val="Normalnumber"/>
    <w:qFormat/>
    <w:rsid w:val="002A5A9A"/>
    <w:pPr>
      <w:keepNext/>
      <w:spacing w:before="240" w:after="120"/>
      <w:ind w:left="1247" w:hanging="680"/>
      <w:outlineLvl w:val="1"/>
    </w:pPr>
    <w:rPr>
      <w:b/>
    </w:rPr>
  </w:style>
  <w:style w:type="paragraph" w:styleId="Heading3">
    <w:name w:val="heading 3"/>
    <w:basedOn w:val="Normal"/>
    <w:next w:val="Normalnumber"/>
    <w:qFormat/>
    <w:rsid w:val="002A5A9A"/>
    <w:pPr>
      <w:spacing w:after="120"/>
      <w:ind w:left="1247" w:hanging="680"/>
      <w:outlineLvl w:val="2"/>
    </w:pPr>
    <w:rPr>
      <w:b/>
    </w:rPr>
  </w:style>
  <w:style w:type="paragraph" w:styleId="Heading4">
    <w:name w:val="heading 4"/>
    <w:basedOn w:val="Heading3"/>
    <w:next w:val="Normalnumber"/>
    <w:qFormat/>
    <w:rsid w:val="002A5A9A"/>
    <w:pPr>
      <w:keepNext/>
      <w:outlineLvl w:val="3"/>
    </w:pPr>
  </w:style>
  <w:style w:type="paragraph" w:styleId="Heading5">
    <w:name w:val="heading 5"/>
    <w:basedOn w:val="Normal"/>
    <w:next w:val="Normal"/>
    <w:qFormat/>
    <w:rsid w:val="002A5A9A"/>
    <w:pPr>
      <w:keepNext/>
      <w:outlineLvl w:val="4"/>
    </w:pPr>
    <w:rPr>
      <w:rFonts w:ascii="Univers" w:hAnsi="Univers"/>
      <w:b/>
    </w:rPr>
  </w:style>
  <w:style w:type="paragraph" w:styleId="Heading6">
    <w:name w:val="heading 6"/>
    <w:basedOn w:val="Normal"/>
    <w:next w:val="Normal"/>
    <w:qFormat/>
    <w:rsid w:val="002A5A9A"/>
    <w:pPr>
      <w:keepNext/>
      <w:ind w:left="578"/>
      <w:outlineLvl w:val="5"/>
    </w:pPr>
    <w:rPr>
      <w:b/>
      <w:bCs/>
    </w:rPr>
  </w:style>
  <w:style w:type="paragraph" w:styleId="Heading7">
    <w:name w:val="heading 7"/>
    <w:basedOn w:val="Normal"/>
    <w:next w:val="Normal"/>
    <w:qFormat/>
    <w:rsid w:val="002A5A9A"/>
    <w:pPr>
      <w:keepNext/>
      <w:widowControl w:val="0"/>
      <w:jc w:val="center"/>
      <w:outlineLvl w:val="6"/>
    </w:pPr>
    <w:rPr>
      <w:snapToGrid w:val="0"/>
      <w:u w:val="single"/>
    </w:rPr>
  </w:style>
  <w:style w:type="paragraph" w:styleId="Heading8">
    <w:name w:val="heading 8"/>
    <w:basedOn w:val="Normal"/>
    <w:next w:val="Normal"/>
    <w:qFormat/>
    <w:rsid w:val="002A5A9A"/>
    <w:pPr>
      <w:keepNext/>
      <w:widowControl w:val="0"/>
      <w:numPr>
        <w:numId w:val="1"/>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2A5A9A"/>
    <w:pPr>
      <w:keepNext/>
      <w:widowControl w:val="0"/>
      <w:numPr>
        <w:numId w:val="2"/>
      </w:numPr>
      <w:suppressAutoHyphens/>
      <w:jc w:val="center"/>
      <w:outlineLvl w:val="8"/>
    </w:pPr>
    <w:rPr>
      <w:snapToGrid w:val="0"/>
      <w:u w:val="single"/>
    </w:rPr>
  </w:style>
  <w:style w:type="character" w:default="1" w:styleId="DefaultParagraphFont">
    <w:name w:val="Default Paragraph Font"/>
    <w:uiPriority w:val="1"/>
    <w:semiHidden/>
    <w:unhideWhenUsed/>
    <w:rsid w:val="00745D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DC4"/>
  </w:style>
  <w:style w:type="character" w:styleId="PageNumber">
    <w:name w:val="page number"/>
    <w:rsid w:val="002A5A9A"/>
    <w:rPr>
      <w:rFonts w:ascii="Times New Roman" w:hAnsi="Times New Roman"/>
      <w:b/>
      <w:sz w:val="18"/>
    </w:rPr>
  </w:style>
  <w:style w:type="table" w:customStyle="1" w:styleId="Tabledocright">
    <w:name w:val="Table_doc_right"/>
    <w:basedOn w:val="TableNormal"/>
    <w:rsid w:val="002A5A9A"/>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2A5A9A"/>
    <w:pPr>
      <w:ind w:left="1000"/>
    </w:pPr>
    <w:rPr>
      <w:sz w:val="18"/>
      <w:szCs w:val="18"/>
    </w:rPr>
  </w:style>
  <w:style w:type="paragraph" w:styleId="TOC7">
    <w:name w:val="toc 7"/>
    <w:basedOn w:val="Normal"/>
    <w:next w:val="Normal"/>
    <w:autoRedefine/>
    <w:semiHidden/>
    <w:rsid w:val="002A5A9A"/>
    <w:pPr>
      <w:ind w:left="1200"/>
    </w:pPr>
    <w:rPr>
      <w:sz w:val="18"/>
      <w:szCs w:val="18"/>
    </w:rPr>
  </w:style>
  <w:style w:type="paragraph" w:styleId="TOC8">
    <w:name w:val="toc 8"/>
    <w:basedOn w:val="Normal"/>
    <w:next w:val="Normal"/>
    <w:autoRedefine/>
    <w:semiHidden/>
    <w:rsid w:val="002A5A9A"/>
    <w:pPr>
      <w:ind w:left="1400"/>
    </w:pPr>
    <w:rPr>
      <w:sz w:val="18"/>
      <w:szCs w:val="18"/>
    </w:rPr>
  </w:style>
  <w:style w:type="paragraph" w:styleId="TOC9">
    <w:name w:val="toc 9"/>
    <w:basedOn w:val="Normal"/>
    <w:next w:val="Normal"/>
    <w:autoRedefine/>
    <w:semiHidden/>
    <w:rsid w:val="002A5A9A"/>
    <w:pPr>
      <w:ind w:left="1600"/>
    </w:pPr>
    <w:rPr>
      <w:sz w:val="18"/>
      <w:szCs w:val="18"/>
    </w:rPr>
  </w:style>
  <w:style w:type="paragraph" w:customStyle="1" w:styleId="Titlefigure">
    <w:name w:val="Title_figure"/>
    <w:basedOn w:val="Titletable"/>
    <w:next w:val="NormalNonumber"/>
    <w:rsid w:val="002A5A9A"/>
    <w:rPr>
      <w:bCs w:val="0"/>
    </w:rPr>
  </w:style>
  <w:style w:type="paragraph" w:styleId="TableofFigures">
    <w:name w:val="table of figures"/>
    <w:basedOn w:val="Normal"/>
    <w:next w:val="Normal"/>
    <w:autoRedefine/>
    <w:semiHidden/>
    <w:rsid w:val="002A5A9A"/>
    <w:pPr>
      <w:ind w:left="1814" w:hanging="567"/>
    </w:pPr>
  </w:style>
  <w:style w:type="paragraph" w:customStyle="1" w:styleId="CH1">
    <w:name w:val="CH1"/>
    <w:basedOn w:val="Normal-pool"/>
    <w:next w:val="CH2"/>
    <w:rsid w:val="002A5A9A"/>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rsid w:val="002A5A9A"/>
    <w:pPr>
      <w:keepNext/>
      <w:keepLines/>
      <w:tabs>
        <w:tab w:val="right" w:pos="851"/>
      </w:tabs>
      <w:suppressAutoHyphens/>
      <w:spacing w:before="120" w:after="120"/>
      <w:ind w:left="1247" w:right="284" w:hanging="1247"/>
    </w:pPr>
    <w:rPr>
      <w:b/>
      <w:sz w:val="24"/>
      <w:szCs w:val="24"/>
    </w:rPr>
  </w:style>
  <w:style w:type="paragraph" w:customStyle="1" w:styleId="CH3">
    <w:name w:val="CH3"/>
    <w:basedOn w:val="Normal-pool"/>
    <w:next w:val="Normalnumber"/>
    <w:rsid w:val="002A5A9A"/>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2A5A9A"/>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2A5A9A"/>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semiHidden/>
    <w:rsid w:val="002A5A9A"/>
    <w:pPr>
      <w:keepNext/>
      <w:keepLines/>
      <w:tabs>
        <w:tab w:val="right" w:pos="851"/>
      </w:tabs>
      <w:suppressAutoHyphens/>
      <w:spacing w:after="120"/>
      <w:ind w:left="1247" w:right="284" w:hanging="1247"/>
    </w:pPr>
    <w:rPr>
      <w:b/>
    </w:rPr>
  </w:style>
  <w:style w:type="paragraph" w:styleId="NormalIndent">
    <w:name w:val="Normal Indent"/>
    <w:basedOn w:val="Normal"/>
    <w:semiHidden/>
    <w:rsid w:val="002A5A9A"/>
    <w:pPr>
      <w:ind w:left="1247"/>
    </w:pPr>
  </w:style>
  <w:style w:type="paragraph" w:customStyle="1" w:styleId="Normal-pool">
    <w:name w:val="Normal-pool"/>
    <w:link w:val="Normal-poolChar"/>
    <w:rsid w:val="002A5A9A"/>
    <w:pPr>
      <w:tabs>
        <w:tab w:val="left" w:pos="1247"/>
        <w:tab w:val="left" w:pos="1814"/>
        <w:tab w:val="left" w:pos="2381"/>
        <w:tab w:val="left" w:pos="2948"/>
        <w:tab w:val="left" w:pos="3515"/>
      </w:tabs>
    </w:pPr>
    <w:rPr>
      <w:lang w:val="en-GB" w:eastAsia="en-US"/>
    </w:rPr>
  </w:style>
  <w:style w:type="table" w:styleId="TableGrid">
    <w:name w:val="Table Grid"/>
    <w:basedOn w:val="TableNormal"/>
    <w:rsid w:val="002A5A9A"/>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2A5A9A"/>
    <w:pPr>
      <w:spacing w:before="240" w:after="240"/>
      <w:ind w:left="1253" w:right="562"/>
      <w:outlineLvl w:val="0"/>
    </w:pPr>
    <w:rPr>
      <w:b/>
      <w:bCs/>
      <w:kern w:val="28"/>
      <w:sz w:val="28"/>
      <w:szCs w:val="28"/>
    </w:rPr>
  </w:style>
  <w:style w:type="paragraph" w:styleId="BalloonText">
    <w:name w:val="Balloon Text"/>
    <w:basedOn w:val="Normal"/>
    <w:link w:val="BalloonTextChar"/>
    <w:rsid w:val="009E7191"/>
    <w:rPr>
      <w:rFonts w:ascii="Tahoma" w:hAnsi="Tahoma"/>
      <w:sz w:val="16"/>
      <w:szCs w:val="16"/>
    </w:rPr>
  </w:style>
  <w:style w:type="character" w:customStyle="1" w:styleId="BalloonTextChar">
    <w:name w:val="Balloon Text Char"/>
    <w:link w:val="BalloonText"/>
    <w:rsid w:val="009E7191"/>
    <w:rPr>
      <w:rFonts w:ascii="Tahoma" w:hAnsi="Tahoma" w:cs="Tahoma"/>
      <w:sz w:val="16"/>
      <w:szCs w:val="16"/>
      <w:lang w:eastAsia="en-US"/>
    </w:rPr>
  </w:style>
  <w:style w:type="character" w:styleId="FootnoteReference">
    <w:name w:val="footnote reference"/>
    <w:aliases w:val="16 Point,Superscript 6 Point,ftref,(Ref. de nota al pie),number,SUPERS,Footnote Reference Superscript,Ref,de nota al pie,註腳內容,de nota al pie + (Asian) MS Mincho,Footnote Reference S"/>
    <w:rsid w:val="002A5A9A"/>
    <w:rPr>
      <w:rFonts w:ascii="Times New Roman" w:hAnsi="Times New Roman"/>
      <w:color w:val="auto"/>
      <w:sz w:val="20"/>
      <w:szCs w:val="18"/>
      <w:vertAlign w:val="superscript"/>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pool"/>
    <w:link w:val="FootnoteTextChar"/>
    <w:rsid w:val="002A5A9A"/>
    <w:pPr>
      <w:spacing w:before="20" w:after="40"/>
      <w:ind w:left="1247"/>
    </w:pPr>
    <w:rPr>
      <w:sz w:val="18"/>
    </w:rPr>
  </w:style>
  <w:style w:type="character" w:styleId="CommentReference">
    <w:name w:val="annotation reference"/>
    <w:uiPriority w:val="99"/>
    <w:rsid w:val="0017454A"/>
    <w:rPr>
      <w:sz w:val="16"/>
      <w:szCs w:val="16"/>
    </w:rPr>
  </w:style>
  <w:style w:type="paragraph" w:styleId="CommentText">
    <w:name w:val="annotation text"/>
    <w:basedOn w:val="Normal"/>
    <w:link w:val="CommentTextChar"/>
    <w:uiPriority w:val="99"/>
    <w:rsid w:val="0017454A"/>
  </w:style>
  <w:style w:type="character" w:customStyle="1" w:styleId="CommentTextChar">
    <w:name w:val="Comment Text Char"/>
    <w:link w:val="CommentText"/>
    <w:uiPriority w:val="99"/>
    <w:rsid w:val="0017454A"/>
    <w:rPr>
      <w:lang w:eastAsia="en-US"/>
    </w:rPr>
  </w:style>
  <w:style w:type="paragraph" w:styleId="CommentSubject">
    <w:name w:val="annotation subject"/>
    <w:basedOn w:val="CommentText"/>
    <w:next w:val="CommentText"/>
    <w:link w:val="CommentSubjectChar"/>
    <w:rsid w:val="0017454A"/>
    <w:rPr>
      <w:b/>
      <w:bCs/>
    </w:rPr>
  </w:style>
  <w:style w:type="character" w:customStyle="1" w:styleId="CommentSubjectChar">
    <w:name w:val="Comment Subject Char"/>
    <w:link w:val="CommentSubject"/>
    <w:rsid w:val="0017454A"/>
    <w:rPr>
      <w:b/>
      <w:bCs/>
      <w:lang w:eastAsia="en-US"/>
    </w:rPr>
  </w:style>
  <w:style w:type="character" w:customStyle="1" w:styleId="HeaderChar">
    <w:name w:val="Header Char"/>
    <w:link w:val="Header"/>
    <w:uiPriority w:val="99"/>
    <w:rsid w:val="00F872AA"/>
    <w:rPr>
      <w:b/>
      <w:sz w:val="18"/>
      <w:lang w:eastAsia="en-US"/>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rsid w:val="00F872AA"/>
    <w:rPr>
      <w:sz w:val="18"/>
      <w:lang w:eastAsia="en-US"/>
    </w:rPr>
  </w:style>
  <w:style w:type="character" w:customStyle="1" w:styleId="NormalnumberChar">
    <w:name w:val="Normal_number Char"/>
    <w:link w:val="Normalnumber"/>
    <w:rsid w:val="005067E0"/>
    <w:rPr>
      <w:lang w:val="en-GB" w:eastAsia="en-US"/>
    </w:rPr>
  </w:style>
  <w:style w:type="paragraph" w:styleId="DocumentMap">
    <w:name w:val="Document Map"/>
    <w:basedOn w:val="Normal"/>
    <w:link w:val="DocumentMapChar"/>
    <w:rsid w:val="00B22096"/>
    <w:rPr>
      <w:rFonts w:ascii="Lucida Grande" w:hAnsi="Lucida Grande"/>
    </w:rPr>
  </w:style>
  <w:style w:type="character" w:customStyle="1" w:styleId="DocumentMapChar">
    <w:name w:val="Document Map Char"/>
    <w:link w:val="DocumentMap"/>
    <w:rsid w:val="00B22096"/>
    <w:rPr>
      <w:rFonts w:ascii="Lucida Grande" w:hAnsi="Lucida Grande"/>
      <w:sz w:val="24"/>
      <w:szCs w:val="24"/>
      <w:lang w:val="en-GB"/>
    </w:rPr>
  </w:style>
  <w:style w:type="paragraph" w:customStyle="1" w:styleId="Paralevel1Char">
    <w:name w:val="Para level1 Char"/>
    <w:basedOn w:val="Normal"/>
    <w:rsid w:val="00E228BB"/>
    <w:pPr>
      <w:keepLines/>
      <w:widowControl w:val="0"/>
      <w:numPr>
        <w:numId w:val="4"/>
      </w:numPr>
      <w:spacing w:after="120"/>
    </w:pPr>
    <w:rPr>
      <w:rFonts w:eastAsia="MS Mincho"/>
    </w:rPr>
  </w:style>
  <w:style w:type="character" w:customStyle="1" w:styleId="CH2Char">
    <w:name w:val="CH2 Char"/>
    <w:link w:val="CH2"/>
    <w:locked/>
    <w:rsid w:val="00E619B3"/>
    <w:rPr>
      <w:b/>
      <w:sz w:val="24"/>
      <w:szCs w:val="24"/>
      <w:lang w:eastAsia="en-US"/>
    </w:rPr>
  </w:style>
  <w:style w:type="paragraph" w:customStyle="1" w:styleId="Sombreadomulticolor-nfasis11">
    <w:name w:val="Sombreado multicolor - Énfasis 11"/>
    <w:hidden/>
    <w:rsid w:val="00F93822"/>
    <w:rPr>
      <w:lang w:val="en-GB" w:eastAsia="en-US"/>
    </w:rPr>
  </w:style>
  <w:style w:type="paragraph" w:customStyle="1" w:styleId="Default">
    <w:name w:val="Default"/>
    <w:rsid w:val="003A1947"/>
    <w:pPr>
      <w:autoSpaceDE w:val="0"/>
      <w:autoSpaceDN w:val="0"/>
      <w:adjustRightInd w:val="0"/>
    </w:pPr>
    <w:rPr>
      <w:color w:val="000000"/>
      <w:sz w:val="24"/>
      <w:szCs w:val="24"/>
      <w:lang w:val="en-GB" w:eastAsia="zh-CN"/>
    </w:rPr>
  </w:style>
  <w:style w:type="table" w:customStyle="1" w:styleId="AATable">
    <w:name w:val="AA_Table"/>
    <w:basedOn w:val="TableNormal"/>
    <w:rsid w:val="002A5A9A"/>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Autospacing="0" w:afterLines="0" w:afterAutospacing="0"/>
        <w:contextualSpacing w:val="0"/>
        <w:jc w:val="left"/>
      </w:pPr>
      <w:rPr>
        <w:rFonts w:ascii="Symbol" w:hAnsi="Symbol"/>
        <w:b/>
        <w:i w:val="0"/>
        <w:caps/>
        <w:smallCaps w:val="0"/>
        <w:color w:val="auto"/>
        <w:sz w:val="27"/>
        <w:szCs w:val="27"/>
      </w:rPr>
    </w:tblStylePr>
    <w:tblStylePr w:type="lastRow">
      <w:pPr>
        <w:wordWrap/>
        <w:spacing w:beforeLines="0" w:beforeAutospacing="0" w:afterLines="0" w:afterAutospacing="0"/>
        <w:ind w:rightChars="0" w:right="567"/>
        <w:contextualSpacing w:val="0"/>
      </w:pPr>
      <w:rPr>
        <w:rFonts w:ascii="Symbol" w:hAnsi="Symbol"/>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Autospacing="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Autospacing="0" w:afterLines="0" w:afterAutospacing="0"/>
        <w:contextualSpacing w:val="0"/>
        <w:jc w:val="right"/>
      </w:pPr>
      <w:rPr>
        <w:rFonts w:ascii="Symbol" w:hAnsi="Symbol"/>
        <w:b/>
        <w:i w:val="0"/>
        <w:color w:val="auto"/>
        <w:sz w:val="64"/>
        <w:szCs w:val="64"/>
      </w:rPr>
    </w:tblStylePr>
    <w:tblStylePr w:type="nwCell">
      <w:rPr>
        <w:rFonts w:ascii="Symbol" w:hAnsi="Symbol"/>
        <w:b/>
        <w:i w:val="0"/>
        <w:caps/>
        <w:smallCaps w:val="0"/>
        <w:color w:val="auto"/>
        <w:sz w:val="27"/>
        <w:szCs w:val="27"/>
      </w:rPr>
    </w:tblStylePr>
    <w:tblStylePr w:type="seCell">
      <w:pPr>
        <w:wordWrap/>
        <w:spacing w:beforeLines="0" w:beforeAutospacing="0" w:afterLines="0" w:afterAutospacing="0"/>
        <w:ind w:leftChars="0" w:left="0" w:rightChars="0" w:right="0"/>
        <w:contextualSpacing w:val="0"/>
      </w:pPr>
      <w:rPr>
        <w:rFonts w:ascii="Times New Roman" w:hAnsi="Times New Roman"/>
        <w:b w:val="0"/>
        <w:sz w:val="20"/>
      </w:rPr>
    </w:tblStylePr>
    <w:tblStylePr w:type="swCell">
      <w:pPr>
        <w:wordWrap/>
        <w:spacing w:afterLines="0" w:afterAutospacing="0"/>
        <w:ind w:rightChars="0" w:right="0"/>
      </w:pPr>
      <w:rPr>
        <w:rFonts w:ascii="Times New Roman" w:hAnsi="Times New Roman"/>
      </w:rPr>
    </w:tblStylePr>
  </w:style>
  <w:style w:type="paragraph" w:customStyle="1" w:styleId="AATitle">
    <w:name w:val="AA_Title"/>
    <w:basedOn w:val="Normal-pool"/>
    <w:rsid w:val="002A5A9A"/>
    <w:pPr>
      <w:keepNext/>
      <w:keepLines/>
      <w:suppressAutoHyphens/>
      <w:ind w:right="3402"/>
    </w:pPr>
    <w:rPr>
      <w:b/>
    </w:rPr>
  </w:style>
  <w:style w:type="paragraph" w:customStyle="1" w:styleId="AATitle2">
    <w:name w:val="AA_Title2"/>
    <w:basedOn w:val="AATitle"/>
    <w:rsid w:val="002A5A9A"/>
    <w:pPr>
      <w:spacing w:before="120" w:after="120"/>
      <w:ind w:right="1701"/>
    </w:pPr>
  </w:style>
  <w:style w:type="paragraph" w:customStyle="1" w:styleId="BBTitle">
    <w:name w:val="BB_Title"/>
    <w:basedOn w:val="Normal-pool"/>
    <w:rsid w:val="002A5A9A"/>
    <w:pPr>
      <w:keepNext/>
      <w:keepLines/>
      <w:suppressAutoHyphens/>
      <w:spacing w:before="320" w:after="240"/>
      <w:ind w:left="1247" w:right="567"/>
    </w:pPr>
    <w:rPr>
      <w:b/>
      <w:sz w:val="28"/>
      <w:szCs w:val="28"/>
    </w:rPr>
  </w:style>
  <w:style w:type="paragraph" w:styleId="Footer">
    <w:name w:val="footer"/>
    <w:basedOn w:val="Normal-pool"/>
    <w:rsid w:val="002A5A9A"/>
    <w:pPr>
      <w:tabs>
        <w:tab w:val="center" w:pos="4320"/>
        <w:tab w:val="right" w:pos="8640"/>
      </w:tabs>
      <w:spacing w:before="60" w:after="120"/>
    </w:pPr>
    <w:rPr>
      <w:sz w:val="18"/>
    </w:rPr>
  </w:style>
  <w:style w:type="paragraph" w:styleId="Header">
    <w:name w:val="header"/>
    <w:basedOn w:val="Normal-pool"/>
    <w:link w:val="HeaderChar"/>
    <w:uiPriority w:val="99"/>
    <w:rsid w:val="002A5A9A"/>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2A5A9A"/>
    <w:rPr>
      <w:rFonts w:ascii="Times New Roman" w:hAnsi="Times New Roman"/>
      <w:color w:val="auto"/>
      <w:sz w:val="20"/>
      <w:szCs w:val="20"/>
      <w:u w:val="none"/>
      <w:lang w:val="fr-FR"/>
    </w:rPr>
  </w:style>
  <w:style w:type="numbering" w:customStyle="1" w:styleId="Normallist">
    <w:name w:val="Normal_list"/>
    <w:basedOn w:val="NoList"/>
    <w:rsid w:val="002A5A9A"/>
    <w:pPr>
      <w:numPr>
        <w:numId w:val="3"/>
      </w:numPr>
    </w:pPr>
  </w:style>
  <w:style w:type="paragraph" w:customStyle="1" w:styleId="NormalNonumber">
    <w:name w:val="Normal_No_number"/>
    <w:basedOn w:val="Normal-pool"/>
    <w:autoRedefine/>
    <w:rsid w:val="008F4A74"/>
    <w:pPr>
      <w:tabs>
        <w:tab w:val="clear" w:pos="1247"/>
        <w:tab w:val="clear" w:pos="1814"/>
        <w:tab w:val="clear" w:pos="2381"/>
        <w:tab w:val="clear" w:pos="2948"/>
        <w:tab w:val="clear" w:pos="3515"/>
      </w:tabs>
      <w:spacing w:after="240"/>
      <w:ind w:left="1247"/>
    </w:pPr>
    <w:rPr>
      <w:rFonts w:eastAsia="MS Mincho"/>
      <w:b/>
      <w:lang w:val="es-ES_tradnl"/>
    </w:rPr>
  </w:style>
  <w:style w:type="paragraph" w:customStyle="1" w:styleId="Normalnumber">
    <w:name w:val="Normal_number"/>
    <w:basedOn w:val="Normal-pool"/>
    <w:link w:val="NormalnumberChar"/>
    <w:rsid w:val="002A5A9A"/>
    <w:pPr>
      <w:numPr>
        <w:numId w:val="5"/>
      </w:numPr>
      <w:spacing w:after="120"/>
    </w:pPr>
  </w:style>
  <w:style w:type="paragraph" w:customStyle="1" w:styleId="Titletable">
    <w:name w:val="Title_table"/>
    <w:basedOn w:val="Normal-pool"/>
    <w:next w:val="NormalNonumber"/>
    <w:rsid w:val="002A5A9A"/>
    <w:pPr>
      <w:keepNext/>
      <w:keepLines/>
      <w:suppressAutoHyphens/>
      <w:spacing w:after="60"/>
      <w:ind w:left="1247"/>
    </w:pPr>
    <w:rPr>
      <w:b/>
      <w:bCs/>
    </w:rPr>
  </w:style>
  <w:style w:type="paragraph" w:styleId="TOC1">
    <w:name w:val="toc 1"/>
    <w:basedOn w:val="Normal-pool"/>
    <w:next w:val="Normal-pool"/>
    <w:rsid w:val="002A5A9A"/>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rsid w:val="002A5A9A"/>
    <w:pPr>
      <w:tabs>
        <w:tab w:val="clear" w:pos="1814"/>
        <w:tab w:val="clear" w:pos="2948"/>
        <w:tab w:val="clear" w:pos="3515"/>
        <w:tab w:val="right" w:leader="dot" w:pos="9486"/>
      </w:tabs>
      <w:ind w:left="2381" w:hanging="567"/>
    </w:pPr>
  </w:style>
  <w:style w:type="paragraph" w:styleId="TOC3">
    <w:name w:val="toc 3"/>
    <w:basedOn w:val="Normal-pool"/>
    <w:next w:val="Normal-pool"/>
    <w:rsid w:val="002A5A9A"/>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2A5A9A"/>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2A5A9A"/>
    <w:pPr>
      <w:ind w:left="800"/>
    </w:pPr>
    <w:rPr>
      <w:sz w:val="18"/>
      <w:szCs w:val="18"/>
    </w:rPr>
  </w:style>
  <w:style w:type="paragraph" w:customStyle="1" w:styleId="ZZAnxheader">
    <w:name w:val="ZZ_Anx_header"/>
    <w:basedOn w:val="Normal-pool"/>
    <w:rsid w:val="002A5A9A"/>
    <w:rPr>
      <w:b/>
      <w:bCs/>
      <w:sz w:val="28"/>
      <w:szCs w:val="22"/>
    </w:rPr>
  </w:style>
  <w:style w:type="paragraph" w:customStyle="1" w:styleId="ZZAnxtitle">
    <w:name w:val="ZZ_Anx_title"/>
    <w:basedOn w:val="Normal-pool"/>
    <w:rsid w:val="002A5A9A"/>
    <w:pPr>
      <w:spacing w:before="360" w:after="120"/>
      <w:ind w:left="1247"/>
    </w:pPr>
    <w:rPr>
      <w:b/>
      <w:bCs/>
      <w:sz w:val="28"/>
      <w:szCs w:val="26"/>
    </w:rPr>
  </w:style>
  <w:style w:type="paragraph" w:customStyle="1" w:styleId="Listamulticolor-nfasis11">
    <w:name w:val="Lista multicolor - Énfasis 11"/>
    <w:basedOn w:val="Normal"/>
    <w:qFormat/>
    <w:rsid w:val="00E16246"/>
    <w:pPr>
      <w:ind w:left="720"/>
      <w:contextualSpacing/>
    </w:pPr>
  </w:style>
  <w:style w:type="paragraph" w:customStyle="1" w:styleId="Bullets">
    <w:name w:val="Bullets"/>
    <w:basedOn w:val="Normal"/>
    <w:rsid w:val="002F3F59"/>
    <w:pPr>
      <w:numPr>
        <w:numId w:val="7"/>
      </w:numPr>
    </w:pPr>
    <w:rPr>
      <w:rFonts w:ascii="Cambria" w:eastAsia="Cambria" w:hAnsi="Cambria" w:cs="Times New Roman"/>
      <w:lang w:val="en-GB"/>
    </w:rPr>
  </w:style>
  <w:style w:type="character" w:customStyle="1" w:styleId="Normal-poolChar">
    <w:name w:val="Normal-pool Char"/>
    <w:link w:val="Normal-pool"/>
    <w:locked/>
    <w:rsid w:val="00BD6CE0"/>
    <w:rPr>
      <w:lang w:val="en-GB" w:eastAsia="en-US"/>
    </w:rPr>
  </w:style>
  <w:style w:type="character" w:customStyle="1" w:styleId="preferred">
    <w:name w:val="preferred"/>
    <w:basedOn w:val="DefaultParagraphFont"/>
    <w:rsid w:val="008E43C5"/>
  </w:style>
  <w:style w:type="paragraph" w:customStyle="1" w:styleId="Style1">
    <w:name w:val="Style1"/>
    <w:basedOn w:val="NormalNonumber"/>
    <w:rsid w:val="008F4A74"/>
  </w:style>
  <w:style w:type="paragraph" w:customStyle="1" w:styleId="Style2">
    <w:name w:val="Style2"/>
    <w:basedOn w:val="NormalNonumber"/>
    <w:rsid w:val="008F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204">
      <w:bodyDiv w:val="1"/>
      <w:marLeft w:val="0"/>
      <w:marRight w:val="0"/>
      <w:marTop w:val="0"/>
      <w:marBottom w:val="0"/>
      <w:divBdr>
        <w:top w:val="none" w:sz="0" w:space="0" w:color="auto"/>
        <w:left w:val="none" w:sz="0" w:space="0" w:color="auto"/>
        <w:bottom w:val="none" w:sz="0" w:space="0" w:color="auto"/>
        <w:right w:val="none" w:sz="0" w:space="0" w:color="auto"/>
      </w:divBdr>
    </w:div>
    <w:div w:id="26178132">
      <w:bodyDiv w:val="1"/>
      <w:marLeft w:val="0"/>
      <w:marRight w:val="0"/>
      <w:marTop w:val="0"/>
      <w:marBottom w:val="0"/>
      <w:divBdr>
        <w:top w:val="none" w:sz="0" w:space="0" w:color="auto"/>
        <w:left w:val="none" w:sz="0" w:space="0" w:color="auto"/>
        <w:bottom w:val="none" w:sz="0" w:space="0" w:color="auto"/>
        <w:right w:val="none" w:sz="0" w:space="0" w:color="auto"/>
      </w:divBdr>
    </w:div>
    <w:div w:id="72169557">
      <w:bodyDiv w:val="1"/>
      <w:marLeft w:val="0"/>
      <w:marRight w:val="0"/>
      <w:marTop w:val="0"/>
      <w:marBottom w:val="0"/>
      <w:divBdr>
        <w:top w:val="none" w:sz="0" w:space="0" w:color="auto"/>
        <w:left w:val="none" w:sz="0" w:space="0" w:color="auto"/>
        <w:bottom w:val="none" w:sz="0" w:space="0" w:color="auto"/>
        <w:right w:val="none" w:sz="0" w:space="0" w:color="auto"/>
      </w:divBdr>
    </w:div>
    <w:div w:id="77017554">
      <w:bodyDiv w:val="1"/>
      <w:marLeft w:val="0"/>
      <w:marRight w:val="0"/>
      <w:marTop w:val="0"/>
      <w:marBottom w:val="0"/>
      <w:divBdr>
        <w:top w:val="none" w:sz="0" w:space="0" w:color="auto"/>
        <w:left w:val="none" w:sz="0" w:space="0" w:color="auto"/>
        <w:bottom w:val="none" w:sz="0" w:space="0" w:color="auto"/>
        <w:right w:val="none" w:sz="0" w:space="0" w:color="auto"/>
      </w:divBdr>
    </w:div>
    <w:div w:id="140929315">
      <w:bodyDiv w:val="1"/>
      <w:marLeft w:val="0"/>
      <w:marRight w:val="0"/>
      <w:marTop w:val="0"/>
      <w:marBottom w:val="0"/>
      <w:divBdr>
        <w:top w:val="none" w:sz="0" w:space="0" w:color="auto"/>
        <w:left w:val="none" w:sz="0" w:space="0" w:color="auto"/>
        <w:bottom w:val="none" w:sz="0" w:space="0" w:color="auto"/>
        <w:right w:val="none" w:sz="0" w:space="0" w:color="auto"/>
      </w:divBdr>
    </w:div>
    <w:div w:id="198930616">
      <w:bodyDiv w:val="1"/>
      <w:marLeft w:val="0"/>
      <w:marRight w:val="0"/>
      <w:marTop w:val="0"/>
      <w:marBottom w:val="0"/>
      <w:divBdr>
        <w:top w:val="none" w:sz="0" w:space="0" w:color="auto"/>
        <w:left w:val="none" w:sz="0" w:space="0" w:color="auto"/>
        <w:bottom w:val="none" w:sz="0" w:space="0" w:color="auto"/>
        <w:right w:val="none" w:sz="0" w:space="0" w:color="auto"/>
      </w:divBdr>
    </w:div>
    <w:div w:id="394007513">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09278351">
      <w:bodyDiv w:val="1"/>
      <w:marLeft w:val="0"/>
      <w:marRight w:val="0"/>
      <w:marTop w:val="0"/>
      <w:marBottom w:val="0"/>
      <w:divBdr>
        <w:top w:val="none" w:sz="0" w:space="0" w:color="auto"/>
        <w:left w:val="none" w:sz="0" w:space="0" w:color="auto"/>
        <w:bottom w:val="none" w:sz="0" w:space="0" w:color="auto"/>
        <w:right w:val="none" w:sz="0" w:space="0" w:color="auto"/>
      </w:divBdr>
    </w:div>
    <w:div w:id="431365436">
      <w:bodyDiv w:val="1"/>
      <w:marLeft w:val="0"/>
      <w:marRight w:val="0"/>
      <w:marTop w:val="0"/>
      <w:marBottom w:val="0"/>
      <w:divBdr>
        <w:top w:val="none" w:sz="0" w:space="0" w:color="auto"/>
        <w:left w:val="none" w:sz="0" w:space="0" w:color="auto"/>
        <w:bottom w:val="none" w:sz="0" w:space="0" w:color="auto"/>
        <w:right w:val="none" w:sz="0" w:space="0" w:color="auto"/>
      </w:divBdr>
    </w:div>
    <w:div w:id="454062340">
      <w:bodyDiv w:val="1"/>
      <w:marLeft w:val="0"/>
      <w:marRight w:val="0"/>
      <w:marTop w:val="0"/>
      <w:marBottom w:val="0"/>
      <w:divBdr>
        <w:top w:val="none" w:sz="0" w:space="0" w:color="auto"/>
        <w:left w:val="none" w:sz="0" w:space="0" w:color="auto"/>
        <w:bottom w:val="none" w:sz="0" w:space="0" w:color="auto"/>
        <w:right w:val="none" w:sz="0" w:space="0" w:color="auto"/>
      </w:divBdr>
    </w:div>
    <w:div w:id="457114870">
      <w:bodyDiv w:val="1"/>
      <w:marLeft w:val="0"/>
      <w:marRight w:val="0"/>
      <w:marTop w:val="0"/>
      <w:marBottom w:val="0"/>
      <w:divBdr>
        <w:top w:val="none" w:sz="0" w:space="0" w:color="auto"/>
        <w:left w:val="none" w:sz="0" w:space="0" w:color="auto"/>
        <w:bottom w:val="none" w:sz="0" w:space="0" w:color="auto"/>
        <w:right w:val="none" w:sz="0" w:space="0" w:color="auto"/>
      </w:divBdr>
    </w:div>
    <w:div w:id="471556294">
      <w:bodyDiv w:val="1"/>
      <w:marLeft w:val="0"/>
      <w:marRight w:val="0"/>
      <w:marTop w:val="0"/>
      <w:marBottom w:val="0"/>
      <w:divBdr>
        <w:top w:val="none" w:sz="0" w:space="0" w:color="auto"/>
        <w:left w:val="none" w:sz="0" w:space="0" w:color="auto"/>
        <w:bottom w:val="none" w:sz="0" w:space="0" w:color="auto"/>
        <w:right w:val="none" w:sz="0" w:space="0" w:color="auto"/>
      </w:divBdr>
    </w:div>
    <w:div w:id="474613179">
      <w:bodyDiv w:val="1"/>
      <w:marLeft w:val="0"/>
      <w:marRight w:val="0"/>
      <w:marTop w:val="0"/>
      <w:marBottom w:val="0"/>
      <w:divBdr>
        <w:top w:val="none" w:sz="0" w:space="0" w:color="auto"/>
        <w:left w:val="none" w:sz="0" w:space="0" w:color="auto"/>
        <w:bottom w:val="none" w:sz="0" w:space="0" w:color="auto"/>
        <w:right w:val="none" w:sz="0" w:space="0" w:color="auto"/>
      </w:divBdr>
    </w:div>
    <w:div w:id="691957800">
      <w:bodyDiv w:val="1"/>
      <w:marLeft w:val="0"/>
      <w:marRight w:val="0"/>
      <w:marTop w:val="0"/>
      <w:marBottom w:val="0"/>
      <w:divBdr>
        <w:top w:val="none" w:sz="0" w:space="0" w:color="auto"/>
        <w:left w:val="none" w:sz="0" w:space="0" w:color="auto"/>
        <w:bottom w:val="none" w:sz="0" w:space="0" w:color="auto"/>
        <w:right w:val="none" w:sz="0" w:space="0" w:color="auto"/>
      </w:divBdr>
    </w:div>
    <w:div w:id="932251191">
      <w:bodyDiv w:val="1"/>
      <w:marLeft w:val="0"/>
      <w:marRight w:val="0"/>
      <w:marTop w:val="0"/>
      <w:marBottom w:val="0"/>
      <w:divBdr>
        <w:top w:val="none" w:sz="0" w:space="0" w:color="auto"/>
        <w:left w:val="none" w:sz="0" w:space="0" w:color="auto"/>
        <w:bottom w:val="none" w:sz="0" w:space="0" w:color="auto"/>
        <w:right w:val="none" w:sz="0" w:space="0" w:color="auto"/>
      </w:divBdr>
    </w:div>
    <w:div w:id="1053505367">
      <w:bodyDiv w:val="1"/>
      <w:marLeft w:val="0"/>
      <w:marRight w:val="0"/>
      <w:marTop w:val="0"/>
      <w:marBottom w:val="0"/>
      <w:divBdr>
        <w:top w:val="none" w:sz="0" w:space="0" w:color="auto"/>
        <w:left w:val="none" w:sz="0" w:space="0" w:color="auto"/>
        <w:bottom w:val="none" w:sz="0" w:space="0" w:color="auto"/>
        <w:right w:val="none" w:sz="0" w:space="0" w:color="auto"/>
      </w:divBdr>
    </w:div>
    <w:div w:id="1070929478">
      <w:bodyDiv w:val="1"/>
      <w:marLeft w:val="0"/>
      <w:marRight w:val="0"/>
      <w:marTop w:val="0"/>
      <w:marBottom w:val="0"/>
      <w:divBdr>
        <w:top w:val="none" w:sz="0" w:space="0" w:color="auto"/>
        <w:left w:val="none" w:sz="0" w:space="0" w:color="auto"/>
        <w:bottom w:val="none" w:sz="0" w:space="0" w:color="auto"/>
        <w:right w:val="none" w:sz="0" w:space="0" w:color="auto"/>
      </w:divBdr>
    </w:div>
    <w:div w:id="1165125160">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196579751">
      <w:bodyDiv w:val="1"/>
      <w:marLeft w:val="0"/>
      <w:marRight w:val="0"/>
      <w:marTop w:val="0"/>
      <w:marBottom w:val="0"/>
      <w:divBdr>
        <w:top w:val="none" w:sz="0" w:space="0" w:color="auto"/>
        <w:left w:val="none" w:sz="0" w:space="0" w:color="auto"/>
        <w:bottom w:val="none" w:sz="0" w:space="0" w:color="auto"/>
        <w:right w:val="none" w:sz="0" w:space="0" w:color="auto"/>
      </w:divBdr>
    </w:div>
    <w:div w:id="1214193862">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33876962">
      <w:bodyDiv w:val="1"/>
      <w:marLeft w:val="0"/>
      <w:marRight w:val="0"/>
      <w:marTop w:val="0"/>
      <w:marBottom w:val="0"/>
      <w:divBdr>
        <w:top w:val="none" w:sz="0" w:space="0" w:color="auto"/>
        <w:left w:val="none" w:sz="0" w:space="0" w:color="auto"/>
        <w:bottom w:val="none" w:sz="0" w:space="0" w:color="auto"/>
        <w:right w:val="none" w:sz="0" w:space="0" w:color="auto"/>
      </w:divBdr>
    </w:div>
    <w:div w:id="1404376870">
      <w:bodyDiv w:val="1"/>
      <w:marLeft w:val="0"/>
      <w:marRight w:val="0"/>
      <w:marTop w:val="0"/>
      <w:marBottom w:val="0"/>
      <w:divBdr>
        <w:top w:val="none" w:sz="0" w:space="0" w:color="auto"/>
        <w:left w:val="none" w:sz="0" w:space="0" w:color="auto"/>
        <w:bottom w:val="none" w:sz="0" w:space="0" w:color="auto"/>
        <w:right w:val="none" w:sz="0" w:space="0" w:color="auto"/>
      </w:divBdr>
    </w:div>
    <w:div w:id="1418358139">
      <w:bodyDiv w:val="1"/>
      <w:marLeft w:val="0"/>
      <w:marRight w:val="0"/>
      <w:marTop w:val="0"/>
      <w:marBottom w:val="0"/>
      <w:divBdr>
        <w:top w:val="none" w:sz="0" w:space="0" w:color="auto"/>
        <w:left w:val="none" w:sz="0" w:space="0" w:color="auto"/>
        <w:bottom w:val="none" w:sz="0" w:space="0" w:color="auto"/>
        <w:right w:val="none" w:sz="0" w:space="0" w:color="auto"/>
      </w:divBdr>
    </w:div>
    <w:div w:id="1550460073">
      <w:bodyDiv w:val="1"/>
      <w:marLeft w:val="0"/>
      <w:marRight w:val="0"/>
      <w:marTop w:val="0"/>
      <w:marBottom w:val="0"/>
      <w:divBdr>
        <w:top w:val="none" w:sz="0" w:space="0" w:color="auto"/>
        <w:left w:val="none" w:sz="0" w:space="0" w:color="auto"/>
        <w:bottom w:val="none" w:sz="0" w:space="0" w:color="auto"/>
        <w:right w:val="none" w:sz="0" w:space="0" w:color="auto"/>
      </w:divBdr>
    </w:div>
    <w:div w:id="1603221052">
      <w:bodyDiv w:val="1"/>
      <w:marLeft w:val="0"/>
      <w:marRight w:val="0"/>
      <w:marTop w:val="0"/>
      <w:marBottom w:val="0"/>
      <w:divBdr>
        <w:top w:val="none" w:sz="0" w:space="0" w:color="auto"/>
        <w:left w:val="none" w:sz="0" w:space="0" w:color="auto"/>
        <w:bottom w:val="none" w:sz="0" w:space="0" w:color="auto"/>
        <w:right w:val="none" w:sz="0" w:space="0" w:color="auto"/>
      </w:divBdr>
    </w:div>
    <w:div w:id="1685278249">
      <w:bodyDiv w:val="1"/>
      <w:marLeft w:val="0"/>
      <w:marRight w:val="0"/>
      <w:marTop w:val="0"/>
      <w:marBottom w:val="0"/>
      <w:divBdr>
        <w:top w:val="none" w:sz="0" w:space="0" w:color="auto"/>
        <w:left w:val="none" w:sz="0" w:space="0" w:color="auto"/>
        <w:bottom w:val="none" w:sz="0" w:space="0" w:color="auto"/>
        <w:right w:val="none" w:sz="0" w:space="0" w:color="auto"/>
      </w:divBdr>
    </w:div>
    <w:div w:id="1739744541">
      <w:bodyDiv w:val="1"/>
      <w:marLeft w:val="0"/>
      <w:marRight w:val="0"/>
      <w:marTop w:val="0"/>
      <w:marBottom w:val="0"/>
      <w:divBdr>
        <w:top w:val="none" w:sz="0" w:space="0" w:color="auto"/>
        <w:left w:val="none" w:sz="0" w:space="0" w:color="auto"/>
        <w:bottom w:val="none" w:sz="0" w:space="0" w:color="auto"/>
        <w:right w:val="none" w:sz="0" w:space="0" w:color="auto"/>
      </w:divBdr>
    </w:div>
    <w:div w:id="1759133421">
      <w:bodyDiv w:val="1"/>
      <w:marLeft w:val="0"/>
      <w:marRight w:val="0"/>
      <w:marTop w:val="0"/>
      <w:marBottom w:val="0"/>
      <w:divBdr>
        <w:top w:val="none" w:sz="0" w:space="0" w:color="auto"/>
        <w:left w:val="none" w:sz="0" w:space="0" w:color="auto"/>
        <w:bottom w:val="none" w:sz="0" w:space="0" w:color="auto"/>
        <w:right w:val="none" w:sz="0" w:space="0" w:color="auto"/>
      </w:divBdr>
    </w:div>
    <w:div w:id="1763913593">
      <w:bodyDiv w:val="1"/>
      <w:marLeft w:val="0"/>
      <w:marRight w:val="0"/>
      <w:marTop w:val="0"/>
      <w:marBottom w:val="0"/>
      <w:divBdr>
        <w:top w:val="none" w:sz="0" w:space="0" w:color="auto"/>
        <w:left w:val="none" w:sz="0" w:space="0" w:color="auto"/>
        <w:bottom w:val="none" w:sz="0" w:space="0" w:color="auto"/>
        <w:right w:val="none" w:sz="0" w:space="0" w:color="auto"/>
      </w:divBdr>
    </w:div>
    <w:div w:id="1807892608">
      <w:bodyDiv w:val="1"/>
      <w:marLeft w:val="0"/>
      <w:marRight w:val="0"/>
      <w:marTop w:val="0"/>
      <w:marBottom w:val="0"/>
      <w:divBdr>
        <w:top w:val="none" w:sz="0" w:space="0" w:color="auto"/>
        <w:left w:val="none" w:sz="0" w:space="0" w:color="auto"/>
        <w:bottom w:val="none" w:sz="0" w:space="0" w:color="auto"/>
        <w:right w:val="none" w:sz="0" w:space="0" w:color="auto"/>
      </w:divBdr>
    </w:div>
    <w:div w:id="1836263930">
      <w:bodyDiv w:val="1"/>
      <w:marLeft w:val="0"/>
      <w:marRight w:val="0"/>
      <w:marTop w:val="0"/>
      <w:marBottom w:val="0"/>
      <w:divBdr>
        <w:top w:val="none" w:sz="0" w:space="0" w:color="auto"/>
        <w:left w:val="none" w:sz="0" w:space="0" w:color="auto"/>
        <w:bottom w:val="none" w:sz="0" w:space="0" w:color="auto"/>
        <w:right w:val="none" w:sz="0" w:space="0" w:color="auto"/>
      </w:divBdr>
    </w:div>
    <w:div w:id="2062821288">
      <w:bodyDiv w:val="1"/>
      <w:marLeft w:val="0"/>
      <w:marRight w:val="0"/>
      <w:marTop w:val="0"/>
      <w:marBottom w:val="0"/>
      <w:divBdr>
        <w:top w:val="none" w:sz="0" w:space="0" w:color="auto"/>
        <w:left w:val="none" w:sz="0" w:space="0" w:color="auto"/>
        <w:bottom w:val="none" w:sz="0" w:space="0" w:color="auto"/>
        <w:right w:val="none" w:sz="0" w:space="0" w:color="auto"/>
      </w:divBdr>
    </w:div>
    <w:div w:id="2080637313">
      <w:bodyDiv w:val="1"/>
      <w:marLeft w:val="0"/>
      <w:marRight w:val="0"/>
      <w:marTop w:val="0"/>
      <w:marBottom w:val="0"/>
      <w:divBdr>
        <w:top w:val="none" w:sz="0" w:space="0" w:color="auto"/>
        <w:left w:val="none" w:sz="0" w:space="0" w:color="auto"/>
        <w:bottom w:val="none" w:sz="0" w:space="0" w:color="auto"/>
        <w:right w:val="none" w:sz="0" w:space="0" w:color="auto"/>
      </w:divBdr>
    </w:div>
    <w:div w:id="2098280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5.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9.png"/><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1.xml"/><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3.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victor:Desktop:Gra&#769;ficos%20K1502328%20SAICM%20ICCM%204%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victor:Desktop:Gra&#769;ficos%20K1502328%20SAICM%20ICCM%2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victor:Desktop:Gra&#769;ficos%20K1502328%20SAICM%20ICCM%204%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victor:Desktop:Gra&#769;ficos%20K1502328%20SAICM%20ICCM%204%2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victor:Desktop:Gra&#769;ficos%20K1502328%20SAICM%20ICCM%204%2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victor:Desktop:Gra&#769;ficos%20K1502328%20SAICM%20ICCM%204%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el-GR" sz="900"/>
            </a:pPr>
            <a:r>
              <a:rPr lang="en-US"/>
              <a:t>Aumento del porcentaje</a:t>
            </a:r>
            <a:r>
              <a:rPr lang="en-US" baseline="0"/>
              <a:t> de interesados que realizan actividades de vigilancia sanitaria y ambiental </a:t>
            </a:r>
            <a:r>
              <a:rPr lang="en-US"/>
              <a:t>(indicador</a:t>
            </a:r>
            <a:r>
              <a:rPr lang="en-US" baseline="0"/>
              <a:t> 4)</a:t>
            </a:r>
            <a:endParaRPr lang="en-US"/>
          </a:p>
        </c:rich>
      </c:tx>
      <c:layout>
        <c:manualLayout>
          <c:xMode val="edge"/>
          <c:yMode val="edge"/>
          <c:x val="0.119483709574996"/>
          <c:y val="4.1676911638847798E-2"/>
        </c:manualLayout>
      </c:layout>
      <c:overlay val="0"/>
    </c:title>
    <c:autoTitleDeleted val="0"/>
    <c:plotArea>
      <c:layout/>
      <c:barChart>
        <c:barDir val="bar"/>
        <c:grouping val="clustered"/>
        <c:varyColors val="0"/>
        <c:ser>
          <c:idx val="1"/>
          <c:order val="1"/>
          <c:tx>
            <c:strRef>
              <c:f>'11 Elements'!$M$413</c:f>
            </c:strRef>
          </c:tx>
          <c:invertIfNegative val="0"/>
          <c:cat>
            <c:multiLvlStrRef>
              <c:f>'11 Elements'!$J$416:$J$422</c:f>
            </c:multiLvlStrRef>
          </c:cat>
          <c:val>
            <c:numRef>
              <c:f>'11 Elements'!$M$414:$M$420</c:f>
            </c:numRef>
          </c:val>
        </c:ser>
        <c:ser>
          <c:idx val="0"/>
          <c:order val="0"/>
          <c:tx>
            <c:strRef>
              <c:f>'[Gráficos K1502328 SAICM ICCM 4 3.xlsx]11 Elements'!$M$511</c:f>
              <c:strCache>
                <c:ptCount val="1"/>
                <c:pt idx="0">
                  <c:v>PR2-PR1</c:v>
                </c:pt>
              </c:strCache>
            </c:strRef>
          </c:tx>
          <c:invertIfNegative val="0"/>
          <c:dLbls>
            <c:txPr>
              <a:bodyPr/>
              <a:lstStyle/>
              <a:p>
                <a:pPr>
                  <a:defRPr lang="el-GR" sz="800"/>
                </a:pPr>
                <a:endParaRPr lang="en-US"/>
              </a:p>
            </c:txPr>
            <c:showLegendKey val="0"/>
            <c:showVal val="1"/>
            <c:showCatName val="0"/>
            <c:showSerName val="0"/>
            <c:showPercent val="0"/>
            <c:showBubbleSize val="0"/>
            <c:showLeaderLines val="0"/>
          </c:dLbls>
          <c:cat>
            <c:strRef>
              <c:f>'[Gráficos K1502328 SAICM ICCM 4 3.xlsx]11 Elements'!$J$515:$J$521</c:f>
              <c:strCache>
                <c:ptCount val="7"/>
                <c:pt idx="0">
                  <c:v>Vigilancia biológica de seres humanos</c:v>
                </c:pt>
                <c:pt idx="1">
                  <c:v>Otros tipos</c:v>
                </c:pt>
                <c:pt idx="2">
                  <c:v>No aplicable</c:v>
                </c:pt>
                <c:pt idx="3">
                  <c:v>Vigilancia ambiental</c:v>
                </c:pt>
                <c:pt idx="4">
                  <c:v>Intoxicaciones humanas</c:v>
                </c:pt>
                <c:pt idx="5">
                  <c:v>Enfermedades relacionadas con el trabajo</c:v>
                </c:pt>
                <c:pt idx="6">
                  <c:v>Incidentes químicos</c:v>
                </c:pt>
              </c:strCache>
            </c:strRef>
          </c:cat>
          <c:val>
            <c:numRef>
              <c:f>'[Gráficos K1502328 SAICM ICCM 4 3.xlsx]11 Elements'!$M$512:$M$518</c:f>
              <c:numCache>
                <c:formatCode>0%</c:formatCode>
                <c:ptCount val="7"/>
                <c:pt idx="0">
                  <c:v>-6.05449925523526E-2</c:v>
                </c:pt>
                <c:pt idx="1">
                  <c:v>-4.9767808639271001E-2</c:v>
                </c:pt>
                <c:pt idx="2">
                  <c:v>-3.79391921493034E-2</c:v>
                </c:pt>
                <c:pt idx="3">
                  <c:v>5.1870673793042998E-2</c:v>
                </c:pt>
                <c:pt idx="4">
                  <c:v>5.6339262244808598E-2</c:v>
                </c:pt>
                <c:pt idx="5">
                  <c:v>8.7531762025760101E-2</c:v>
                </c:pt>
                <c:pt idx="6">
                  <c:v>0.11259090510821</c:v>
                </c:pt>
              </c:numCache>
            </c:numRef>
          </c:val>
        </c:ser>
        <c:dLbls>
          <c:showLegendKey val="0"/>
          <c:showVal val="0"/>
          <c:showCatName val="0"/>
          <c:showSerName val="0"/>
          <c:showPercent val="0"/>
          <c:showBubbleSize val="0"/>
        </c:dLbls>
        <c:gapWidth val="150"/>
        <c:axId val="70060672"/>
        <c:axId val="70103424"/>
      </c:barChart>
      <c:catAx>
        <c:axId val="70060672"/>
        <c:scaling>
          <c:orientation val="minMax"/>
        </c:scaling>
        <c:delete val="0"/>
        <c:axPos val="l"/>
        <c:majorTickMark val="out"/>
        <c:minorTickMark val="none"/>
        <c:tickLblPos val="low"/>
        <c:txPr>
          <a:bodyPr/>
          <a:lstStyle/>
          <a:p>
            <a:pPr>
              <a:defRPr lang="el-GR" sz="800"/>
            </a:pPr>
            <a:endParaRPr lang="en-US"/>
          </a:p>
        </c:txPr>
        <c:crossAx val="70103424"/>
        <c:crosses val="autoZero"/>
        <c:auto val="1"/>
        <c:lblAlgn val="ctr"/>
        <c:lblOffset val="100"/>
        <c:noMultiLvlLbl val="0"/>
      </c:catAx>
      <c:valAx>
        <c:axId val="70103424"/>
        <c:scaling>
          <c:orientation val="minMax"/>
        </c:scaling>
        <c:delete val="0"/>
        <c:axPos val="b"/>
        <c:majorGridlines/>
        <c:numFmt formatCode="0%" sourceLinked="1"/>
        <c:majorTickMark val="out"/>
        <c:minorTickMark val="none"/>
        <c:tickLblPos val="nextTo"/>
        <c:txPr>
          <a:bodyPr/>
          <a:lstStyle/>
          <a:p>
            <a:pPr>
              <a:defRPr lang="el-GR" sz="800"/>
            </a:pPr>
            <a:endParaRPr lang="en-US"/>
          </a:p>
        </c:txPr>
        <c:crossAx val="700606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l-GR" sz="900"/>
            </a:pPr>
            <a:r>
              <a:rPr lang="es-ES_tradnl"/>
              <a:t>Aumento de la aplicación del SMA para distintos tipos de productos</a:t>
            </a:r>
            <a:r>
              <a:rPr lang="es-ES_tradnl" baseline="0"/>
              <a:t> químicos </a:t>
            </a:r>
            <a:r>
              <a:rPr lang="es-ES_tradnl"/>
              <a:t> (indicador 6) </a:t>
            </a:r>
          </a:p>
        </c:rich>
      </c:tx>
      <c:layout/>
      <c:overlay val="0"/>
    </c:title>
    <c:autoTitleDeleted val="0"/>
    <c:plotArea>
      <c:layout/>
      <c:barChart>
        <c:barDir val="bar"/>
        <c:grouping val="clustered"/>
        <c:varyColors val="0"/>
        <c:ser>
          <c:idx val="0"/>
          <c:order val="0"/>
          <c:tx>
            <c:strRef>
              <c:f>'11 Elements'!$K$428</c:f>
              <c:strCache>
                <c:ptCount val="1"/>
                <c:pt idx="0">
                  <c:v>Increase in GHS implementation for different chemical types (Ind. 6)</c:v>
                </c:pt>
              </c:strCache>
            </c:strRef>
          </c:tx>
          <c:invertIfNegative val="0"/>
          <c:dLbls>
            <c:txPr>
              <a:bodyPr/>
              <a:lstStyle/>
              <a:p>
                <a:pPr>
                  <a:defRPr lang="el-GR" sz="800"/>
                </a:pPr>
                <a:endParaRPr lang="en-US"/>
              </a:p>
            </c:txPr>
            <c:showLegendKey val="0"/>
            <c:showVal val="1"/>
            <c:showCatName val="0"/>
            <c:showSerName val="0"/>
            <c:showPercent val="0"/>
            <c:showBubbleSize val="0"/>
            <c:showLeaderLines val="0"/>
          </c:dLbls>
          <c:cat>
            <c:strRef>
              <c:f>'11 Elements'!$A$430:$A$437</c:f>
              <c:strCache>
                <c:ptCount val="8"/>
                <c:pt idx="0">
                  <c:v>No aplicable</c:v>
                </c:pt>
                <c:pt idx="1">
                  <c:v>Desconocido</c:v>
                </c:pt>
                <c:pt idx="2">
                  <c:v>Otros</c:v>
                </c:pt>
                <c:pt idx="3">
                  <c:v>Uso en el lugar de trabajo</c:v>
                </c:pt>
                <c:pt idx="4">
                  <c:v>Productos químicos industriales</c:v>
                </c:pt>
                <c:pt idx="5">
                  <c:v>Mercancías peligrosas</c:v>
                </c:pt>
                <c:pt idx="6">
                  <c:v>Productos de consumo</c:v>
                </c:pt>
                <c:pt idx="7">
                  <c:v>Plaguicidas</c:v>
                </c:pt>
              </c:strCache>
            </c:strRef>
          </c:cat>
          <c:val>
            <c:numRef>
              <c:f>'11 Elements'!$K$429:$K$436</c:f>
              <c:numCache>
                <c:formatCode>0%</c:formatCode>
                <c:ptCount val="8"/>
                <c:pt idx="0">
                  <c:v>-7.4876237623762401E-2</c:v>
                </c:pt>
                <c:pt idx="1">
                  <c:v>-6.8511315417255997E-2</c:v>
                </c:pt>
                <c:pt idx="2">
                  <c:v>0.120579915134371</c:v>
                </c:pt>
                <c:pt idx="3">
                  <c:v>0.14489038189533199</c:v>
                </c:pt>
                <c:pt idx="4">
                  <c:v>0.160625884016973</c:v>
                </c:pt>
                <c:pt idx="5">
                  <c:v>0.17556577086280101</c:v>
                </c:pt>
                <c:pt idx="6">
                  <c:v>0.19748939179632199</c:v>
                </c:pt>
                <c:pt idx="7">
                  <c:v>0.219059405940594</c:v>
                </c:pt>
              </c:numCache>
            </c:numRef>
          </c:val>
        </c:ser>
        <c:dLbls>
          <c:showLegendKey val="0"/>
          <c:showVal val="0"/>
          <c:showCatName val="0"/>
          <c:showSerName val="0"/>
          <c:showPercent val="0"/>
          <c:showBubbleSize val="0"/>
        </c:dLbls>
        <c:gapWidth val="150"/>
        <c:axId val="70107136"/>
        <c:axId val="70112384"/>
      </c:barChart>
      <c:catAx>
        <c:axId val="70107136"/>
        <c:scaling>
          <c:orientation val="minMax"/>
        </c:scaling>
        <c:delete val="0"/>
        <c:axPos val="l"/>
        <c:majorTickMark val="out"/>
        <c:minorTickMark val="none"/>
        <c:tickLblPos val="low"/>
        <c:txPr>
          <a:bodyPr/>
          <a:lstStyle/>
          <a:p>
            <a:pPr>
              <a:defRPr lang="el-GR" sz="800"/>
            </a:pPr>
            <a:endParaRPr lang="en-US"/>
          </a:p>
        </c:txPr>
        <c:crossAx val="70112384"/>
        <c:crosses val="autoZero"/>
        <c:auto val="1"/>
        <c:lblAlgn val="ctr"/>
        <c:lblOffset val="100"/>
        <c:noMultiLvlLbl val="0"/>
      </c:catAx>
      <c:valAx>
        <c:axId val="70112384"/>
        <c:scaling>
          <c:orientation val="minMax"/>
        </c:scaling>
        <c:delete val="0"/>
        <c:axPos val="b"/>
        <c:majorGridlines/>
        <c:numFmt formatCode="0%" sourceLinked="1"/>
        <c:majorTickMark val="out"/>
        <c:minorTickMark val="none"/>
        <c:tickLblPos val="nextTo"/>
        <c:txPr>
          <a:bodyPr/>
          <a:lstStyle/>
          <a:p>
            <a:pPr>
              <a:defRPr lang="el-GR" sz="800">
                <a:solidFill>
                  <a:sysClr val="windowText" lastClr="000000"/>
                </a:solidFill>
              </a:defRPr>
            </a:pPr>
            <a:endParaRPr lang="en-US"/>
          </a:p>
        </c:txPr>
        <c:crossAx val="701071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el-GR" sz="900"/>
            </a:pPr>
            <a:r>
              <a:rPr lang="en-US" baseline="0"/>
              <a:t>Aumento del porcentaje de interesados que cuentan con programas de investigación (indicador 8)</a:t>
            </a:r>
            <a:endParaRPr lang="en-US"/>
          </a:p>
        </c:rich>
      </c:tx>
      <c:layout>
        <c:manualLayout>
          <c:xMode val="edge"/>
          <c:yMode val="edge"/>
          <c:x val="0.114732825739477"/>
          <c:y val="3.24108359094726E-2"/>
        </c:manualLayout>
      </c:layout>
      <c:overlay val="0"/>
    </c:title>
    <c:autoTitleDeleted val="0"/>
    <c:plotArea>
      <c:layout/>
      <c:barChart>
        <c:barDir val="bar"/>
        <c:grouping val="clustered"/>
        <c:varyColors val="0"/>
        <c:ser>
          <c:idx val="1"/>
          <c:order val="1"/>
          <c:tx>
            <c:strRef>
              <c:f>'11 Elements'!$N$427</c:f>
            </c:strRef>
          </c:tx>
          <c:invertIfNegative val="0"/>
          <c:cat>
            <c:multiLvlStrRef>
              <c:f>'11 Elements'!$K$428:$K$433</c:f>
            </c:multiLvlStrRef>
          </c:cat>
          <c:val>
            <c:numRef>
              <c:f>'11 Elements'!$N$428:$N$433</c:f>
            </c:numRef>
          </c:val>
        </c:ser>
        <c:ser>
          <c:idx val="0"/>
          <c:order val="0"/>
          <c:tx>
            <c:strRef>
              <c:f>'[Gráficos K1502328 SAICM ICCM 4 3.xlsx]11 Elements'!$N$526</c:f>
              <c:strCache>
                <c:ptCount val="1"/>
                <c:pt idx="0">
                  <c:v>PR2-PR1</c:v>
                </c:pt>
              </c:strCache>
            </c:strRef>
          </c:tx>
          <c:invertIfNegative val="0"/>
          <c:dLbls>
            <c:txPr>
              <a:bodyPr/>
              <a:lstStyle/>
              <a:p>
                <a:pPr>
                  <a:defRPr lang="el-GR" sz="800"/>
                </a:pPr>
                <a:endParaRPr lang="en-US"/>
              </a:p>
            </c:txPr>
            <c:showLegendKey val="0"/>
            <c:showVal val="1"/>
            <c:showCatName val="0"/>
            <c:showSerName val="0"/>
            <c:showPercent val="0"/>
            <c:showBubbleSize val="0"/>
            <c:showLeaderLines val="0"/>
          </c:dLbls>
          <c:cat>
            <c:strRef>
              <c:f>'[Gráficos K1502328 SAICM ICCM 4 3.xlsx]11 Elements'!$K$526:$K$531</c:f>
              <c:strCache>
                <c:ptCount val="6"/>
                <c:pt idx="0">
                  <c:v>Producción más limpia</c:v>
                </c:pt>
                <c:pt idx="1">
                  <c:v>No aplicable</c:v>
                </c:pt>
                <c:pt idx="2">
                  <c:v>Exposición y efectos en la salud</c:v>
                </c:pt>
                <c:pt idx="3">
                  <c:v>Exposición y efectos ambientales</c:v>
                </c:pt>
                <c:pt idx="4">
                  <c:v>Alternativas más seguras</c:v>
                </c:pt>
                <c:pt idx="5">
                  <c:v>Otros</c:v>
                </c:pt>
              </c:strCache>
            </c:strRef>
          </c:cat>
          <c:val>
            <c:numRef>
              <c:f>'[Gráficos K1502328 SAICM ICCM 4 3.xlsx]11 Elements'!$N$527:$N$532</c:f>
              <c:numCache>
                <c:formatCode>0%</c:formatCode>
                <c:ptCount val="6"/>
                <c:pt idx="0">
                  <c:v>-3.6421499292786402E-2</c:v>
                </c:pt>
                <c:pt idx="1">
                  <c:v>6.1881188118811904E-4</c:v>
                </c:pt>
                <c:pt idx="2">
                  <c:v>2.8642149929278601E-2</c:v>
                </c:pt>
                <c:pt idx="3">
                  <c:v>5.5427864214992899E-2</c:v>
                </c:pt>
                <c:pt idx="4">
                  <c:v>6.4710042432814696E-2</c:v>
                </c:pt>
                <c:pt idx="5">
                  <c:v>0.14038189533239001</c:v>
                </c:pt>
              </c:numCache>
            </c:numRef>
          </c:val>
        </c:ser>
        <c:dLbls>
          <c:showLegendKey val="0"/>
          <c:showVal val="0"/>
          <c:showCatName val="0"/>
          <c:showSerName val="0"/>
          <c:showPercent val="0"/>
          <c:showBubbleSize val="0"/>
        </c:dLbls>
        <c:gapWidth val="150"/>
        <c:axId val="68917120"/>
        <c:axId val="68918656"/>
      </c:barChart>
      <c:catAx>
        <c:axId val="68917120"/>
        <c:scaling>
          <c:orientation val="minMax"/>
        </c:scaling>
        <c:delete val="0"/>
        <c:axPos val="l"/>
        <c:majorTickMark val="out"/>
        <c:minorTickMark val="none"/>
        <c:tickLblPos val="low"/>
        <c:txPr>
          <a:bodyPr/>
          <a:lstStyle/>
          <a:p>
            <a:pPr>
              <a:defRPr lang="el-GR" sz="800"/>
            </a:pPr>
            <a:endParaRPr lang="en-US"/>
          </a:p>
        </c:txPr>
        <c:crossAx val="68918656"/>
        <c:crosses val="autoZero"/>
        <c:auto val="1"/>
        <c:lblAlgn val="ctr"/>
        <c:lblOffset val="100"/>
        <c:noMultiLvlLbl val="0"/>
      </c:catAx>
      <c:valAx>
        <c:axId val="68918656"/>
        <c:scaling>
          <c:orientation val="minMax"/>
        </c:scaling>
        <c:delete val="0"/>
        <c:axPos val="b"/>
        <c:majorGridlines/>
        <c:numFmt formatCode="0%" sourceLinked="1"/>
        <c:majorTickMark val="out"/>
        <c:minorTickMark val="none"/>
        <c:tickLblPos val="nextTo"/>
        <c:txPr>
          <a:bodyPr/>
          <a:lstStyle/>
          <a:p>
            <a:pPr>
              <a:defRPr lang="el-GR" sz="800">
                <a:solidFill>
                  <a:sysClr val="windowText" lastClr="000000"/>
                </a:solidFill>
              </a:defRPr>
            </a:pPr>
            <a:endParaRPr lang="en-US"/>
          </a:p>
        </c:txPr>
        <c:crossAx val="6891712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l-GR" sz="1000"/>
            </a:pPr>
            <a:r>
              <a:rPr lang="en-US" sz="1000"/>
              <a:t>Aumento</a:t>
            </a:r>
            <a:r>
              <a:rPr lang="en-US" sz="1000" baseline="0"/>
              <a:t> de los interesados que cuentan con mecanismos</a:t>
            </a:r>
            <a:r>
              <a:rPr lang="en-US" sz="1000"/>
              <a:t> para la</a:t>
            </a:r>
            <a:r>
              <a:rPr lang="en-US" sz="1000" baseline="0"/>
              <a:t> aplicación de</a:t>
            </a:r>
            <a:r>
              <a:rPr lang="en-US" sz="1000"/>
              <a:t> los convenios internacionales</a:t>
            </a:r>
            <a:r>
              <a:rPr lang="en-US" sz="1000" baseline="0"/>
              <a:t> (indicador 12)</a:t>
            </a:r>
            <a:endParaRPr lang="en-US" sz="1000"/>
          </a:p>
        </c:rich>
      </c:tx>
      <c:layout/>
      <c:overlay val="0"/>
    </c:title>
    <c:autoTitleDeleted val="0"/>
    <c:plotArea>
      <c:layout/>
      <c:barChart>
        <c:barDir val="bar"/>
        <c:grouping val="stacked"/>
        <c:varyColors val="0"/>
        <c:ser>
          <c:idx val="1"/>
          <c:order val="1"/>
          <c:tx>
            <c:strRef>
              <c:f>'11 Elements'!$N$199</c:f>
            </c:strRef>
          </c:tx>
          <c:invertIfNegative val="0"/>
          <c:cat>
            <c:multiLvlStrRef>
              <c:f>'11 Elements'!$K$200:$K$260</c:f>
            </c:multiLvlStrRef>
          </c:cat>
          <c:val>
            <c:numRef>
              <c:f>'11 Elements'!$N$200:$N$260</c:f>
            </c:numRef>
          </c:val>
        </c:ser>
        <c:ser>
          <c:idx val="2"/>
          <c:order val="2"/>
          <c:tx>
            <c:strRef>
              <c:f>'[Gráficos K1502328 SAICM ICCM 4 3.xlsx]11 Elements'!$N$199</c:f>
            </c:strRef>
          </c:tx>
          <c:invertIfNegative val="0"/>
          <c:cat>
            <c:multiLvlStrRef>
              <c:f>'[Gráficos K1502328 SAICM ICCM 4 3.xlsx]11 Elements'!$K$200:$K$260</c:f>
            </c:multiLvlStrRef>
          </c:cat>
          <c:val>
            <c:numRef>
              <c:f>'[Gráficos K1502328 SAICM ICCM 4 3.xlsx]11 Elements'!$N$200:$N$260</c:f>
            </c:numRef>
          </c:val>
        </c:ser>
        <c:ser>
          <c:idx val="3"/>
          <c:order val="3"/>
          <c:tx>
            <c:strRef>
              <c:f>'[Gráficos K1502328 SAICM ICCM 4 3.xlsx]11 Elements'!$N$199</c:f>
            </c:strRef>
          </c:tx>
          <c:invertIfNegative val="0"/>
          <c:cat>
            <c:multiLvlStrRef>
              <c:f>'[Gráficos K1502328 SAICM ICCM 4 3.xlsx]11 Elements'!$K$200:$K$260</c:f>
            </c:multiLvlStrRef>
          </c:cat>
          <c:val>
            <c:numRef>
              <c:f>'[Gráficos K1502328 SAICM ICCM 4 3.xlsx]11 Elements'!$N$200:$N$260</c:f>
            </c:numRef>
          </c:val>
        </c:ser>
        <c:ser>
          <c:idx val="0"/>
          <c:order val="0"/>
          <c:tx>
            <c:strRef>
              <c:f>'[Gráficos K1502328 SAICM ICCM 4 3.xlsx]11 Elements'!$N$199</c:f>
              <c:strCache>
                <c:ptCount val="1"/>
                <c:pt idx="0">
                  <c:v>PR2 - PR1</c:v>
                </c:pt>
              </c:strCache>
            </c:strRef>
          </c:tx>
          <c:invertIfNegative val="0"/>
          <c:dLbls>
            <c:txPr>
              <a:bodyPr/>
              <a:lstStyle/>
              <a:p>
                <a:pPr>
                  <a:defRPr lang="el-GR" sz="800"/>
                </a:pPr>
                <a:endParaRPr lang="en-US"/>
              </a:p>
            </c:txPr>
            <c:dLblPos val="inEnd"/>
            <c:showLegendKey val="0"/>
            <c:showVal val="1"/>
            <c:showCatName val="0"/>
            <c:showSerName val="0"/>
            <c:showPercent val="0"/>
            <c:showBubbleSize val="0"/>
            <c:showLeaderLines val="0"/>
          </c:dLbls>
          <c:cat>
            <c:strRef>
              <c:f>'[Gráficos K1502328 SAICM ICCM 4 3.xlsx]11 Elements'!$K$200:$K$260</c:f>
              <c:strCache>
                <c:ptCount val="61"/>
                <c:pt idx="0">
                  <c:v>Otros instrumentos de la CEPE</c:v>
                </c:pt>
                <c:pt idx="1">
                  <c:v>Desconocidos</c:v>
                </c:pt>
                <c:pt idx="2">
                  <c:v>Convenio de Aarhus (1998)</c:v>
                </c:pt>
                <c:pt idx="3">
                  <c:v>Protocolo RETC (2003)</c:v>
                </c:pt>
                <c:pt idx="4">
                  <c:v>Convenio de Ginebra (LRTAP, 1979)</c:v>
                </c:pt>
                <c:pt idx="5">
                  <c:v>No aplicable</c:v>
                </c:pt>
                <c:pt idx="6">
                  <c:v>CEPE</c:v>
                </c:pt>
                <c:pt idx="9">
                  <c:v>Reglamento Sanitario Internacional - En preparación</c:v>
                </c:pt>
                <c:pt idx="10">
                  <c:v>Reglamento Sanitario Internacional - No aplicable</c:v>
                </c:pt>
                <c:pt idx="11">
                  <c:v>Reglamento Sanitario Internacional - No</c:v>
                </c:pt>
                <c:pt idx="12">
                  <c:v>Reglamento Sanitario Internacional - Desconocido</c:v>
                </c:pt>
                <c:pt idx="13">
                  <c:v>Reglamento Sanitario Internacional - Sí</c:v>
                </c:pt>
                <c:pt idx="14">
                  <c:v>OMS</c:v>
                </c:pt>
                <c:pt idx="17">
                  <c:v>Convención sobre las Armas Químicas - En preparación</c:v>
                </c:pt>
                <c:pt idx="18">
                  <c:v>Convención sobre las Armas Químicas - No</c:v>
                </c:pt>
                <c:pt idx="19">
                  <c:v>Convención sobre las Armas Químicas - Desconocido</c:v>
                </c:pt>
                <c:pt idx="20">
                  <c:v>Convención sobre las Armas Químicas - Sí</c:v>
                </c:pt>
                <c:pt idx="21">
                  <c:v>OPAQ</c:v>
                </c:pt>
                <c:pt idx="24">
                  <c:v>Convenio de Rotterdam - En preparación</c:v>
                </c:pt>
                <c:pt idx="25">
                  <c:v>Convenio de Rotterdam - Desconocido</c:v>
                </c:pt>
                <c:pt idx="26">
                  <c:v>Convenio de Rotterdam - No</c:v>
                </c:pt>
                <c:pt idx="27">
                  <c:v>Convenio de Rotterdam - Sí</c:v>
                </c:pt>
                <c:pt idx="28">
                  <c:v>FAO/PNUMA</c:v>
                </c:pt>
                <c:pt idx="31">
                  <c:v>Desconocido</c:v>
                </c:pt>
                <c:pt idx="32">
                  <c:v>No aplicable</c:v>
                </c:pt>
                <c:pt idx="33">
                  <c:v>Otros instrumentos del PNUMA</c:v>
                </c:pt>
                <c:pt idx="34">
                  <c:v>Convenio de Basilea (1989)</c:v>
                </c:pt>
                <c:pt idx="35">
                  <c:v>Convenio de Estocolmo (2001)</c:v>
                </c:pt>
                <c:pt idx="36">
                  <c:v>Protocolo de Montreal (1985)</c:v>
                </c:pt>
                <c:pt idx="37">
                  <c:v>PNUMA</c:v>
                </c:pt>
                <c:pt idx="40">
                  <c:v>Otros instrumentos de la OMI</c:v>
                </c:pt>
                <c:pt idx="41">
                  <c:v>Desconocido</c:v>
                </c:pt>
                <c:pt idx="42">
                  <c:v>No aplicable</c:v>
                </c:pt>
                <c:pt idx="43">
                  <c:v>Sustancias peligrosas y nocivas (200)</c:v>
                </c:pt>
                <c:pt idx="44">
                  <c:v>Sistemas antiincrustantes en los buques (2001)</c:v>
                </c:pt>
                <c:pt idx="45">
                  <c:v>Contaminación por hidrocarburos (1990)</c:v>
                </c:pt>
                <c:pt idx="46">
                  <c:v>Prevención de la contaminación por los buques (1973, 1978)</c:v>
                </c:pt>
                <c:pt idx="47">
                  <c:v>IMO</c:v>
                </c:pt>
                <c:pt idx="50">
                  <c:v>Otros instrumentos de la OIT</c:v>
                </c:pt>
                <c:pt idx="51">
                  <c:v>No aplicable</c:v>
                </c:pt>
                <c:pt idx="52">
                  <c:v>Desconocido</c:v>
                </c:pt>
                <c:pt idx="53">
                  <c:v>Convenio 136 de la OIT</c:v>
                </c:pt>
                <c:pt idx="54">
                  <c:v>Convenio 13 de la OIT</c:v>
                </c:pt>
                <c:pt idx="55">
                  <c:v>Convenio 174 de la OIT</c:v>
                </c:pt>
                <c:pt idx="56">
                  <c:v>Convenio 1939 de la OIT</c:v>
                </c:pt>
                <c:pt idx="57">
                  <c:v>Convenio 170 de la OIT</c:v>
                </c:pt>
                <c:pt idx="58">
                  <c:v>Convenio 148 de la OIT</c:v>
                </c:pt>
                <c:pt idx="59">
                  <c:v>Convenio 162 de la OIT</c:v>
                </c:pt>
                <c:pt idx="60">
                  <c:v>OIT</c:v>
                </c:pt>
              </c:strCache>
            </c:strRef>
          </c:cat>
          <c:val>
            <c:numRef>
              <c:f>'[Gráficos K1502328 SAICM ICCM 4 3.xlsx]11 Elements'!$N$200:$N$260</c:f>
              <c:numCache>
                <c:formatCode>0%</c:formatCode>
                <c:ptCount val="61"/>
                <c:pt idx="0">
                  <c:v>0.19978783592645</c:v>
                </c:pt>
                <c:pt idx="1">
                  <c:v>-6.1881188118811901E-2</c:v>
                </c:pt>
                <c:pt idx="2">
                  <c:v>0.14002828854314001</c:v>
                </c:pt>
                <c:pt idx="3">
                  <c:v>0.16080268741159801</c:v>
                </c:pt>
                <c:pt idx="4">
                  <c:v>0.15090169731258801</c:v>
                </c:pt>
                <c:pt idx="5">
                  <c:v>-0.38392857142857101</c:v>
                </c:pt>
                <c:pt idx="9">
                  <c:v>3.8265306122449E-3</c:v>
                </c:pt>
                <c:pt idx="10">
                  <c:v>-0.11607142857142901</c:v>
                </c:pt>
                <c:pt idx="11">
                  <c:v>-1.4030612244898001E-2</c:v>
                </c:pt>
                <c:pt idx="12">
                  <c:v>-4.5918367346938799E-2</c:v>
                </c:pt>
                <c:pt idx="13">
                  <c:v>0.17219387755102</c:v>
                </c:pt>
                <c:pt idx="17">
                  <c:v>-2.2959183673469399E-2</c:v>
                </c:pt>
                <c:pt idx="18">
                  <c:v>-4.9744897959183597E-2</c:v>
                </c:pt>
                <c:pt idx="19">
                  <c:v>-8.5459183673469399E-2</c:v>
                </c:pt>
                <c:pt idx="20">
                  <c:v>0.16709183673469399</c:v>
                </c:pt>
                <c:pt idx="24">
                  <c:v>-7.6530612244898001E-3</c:v>
                </c:pt>
                <c:pt idx="25">
                  <c:v>-2.5510204081632602E-2</c:v>
                </c:pt>
                <c:pt idx="26">
                  <c:v>-1.27551020408162E-3</c:v>
                </c:pt>
                <c:pt idx="27">
                  <c:v>4.3367346938775503E-2</c:v>
                </c:pt>
                <c:pt idx="31">
                  <c:v>0</c:v>
                </c:pt>
                <c:pt idx="32">
                  <c:v>-6.8511315417255997E-2</c:v>
                </c:pt>
                <c:pt idx="33">
                  <c:v>0.21419731258840199</c:v>
                </c:pt>
                <c:pt idx="34">
                  <c:v>4.9858557284299901E-2</c:v>
                </c:pt>
                <c:pt idx="35">
                  <c:v>2.50176803394625E-2</c:v>
                </c:pt>
                <c:pt idx="36">
                  <c:v>2.5990099009900999E-2</c:v>
                </c:pt>
                <c:pt idx="40">
                  <c:v>0.162128712871287</c:v>
                </c:pt>
                <c:pt idx="41">
                  <c:v>-2.6166902404526099E-2</c:v>
                </c:pt>
                <c:pt idx="42">
                  <c:v>-5.4897454031117399E-2</c:v>
                </c:pt>
                <c:pt idx="43">
                  <c:v>0.153995756718529</c:v>
                </c:pt>
                <c:pt idx="44">
                  <c:v>7.0721357850070707E-2</c:v>
                </c:pt>
                <c:pt idx="45">
                  <c:v>0.13384016973125901</c:v>
                </c:pt>
                <c:pt idx="46">
                  <c:v>0.14064710042432799</c:v>
                </c:pt>
                <c:pt idx="50">
                  <c:v>0.112623762376238</c:v>
                </c:pt>
                <c:pt idx="51">
                  <c:v>-1.8210749646393201E-2</c:v>
                </c:pt>
                <c:pt idx="52">
                  <c:v>-4.7913719943422903E-2</c:v>
                </c:pt>
                <c:pt idx="53">
                  <c:v>7.5760254596888302E-2</c:v>
                </c:pt>
                <c:pt idx="54">
                  <c:v>9.8479490806223494E-2</c:v>
                </c:pt>
                <c:pt idx="55">
                  <c:v>0.11032531824611</c:v>
                </c:pt>
                <c:pt idx="56">
                  <c:v>5.6753889674681701E-2</c:v>
                </c:pt>
                <c:pt idx="57">
                  <c:v>7.8500707213578505E-2</c:v>
                </c:pt>
                <c:pt idx="58">
                  <c:v>6.8599717114568595E-2</c:v>
                </c:pt>
                <c:pt idx="59">
                  <c:v>0.100247524752475</c:v>
                </c:pt>
              </c:numCache>
            </c:numRef>
          </c:val>
        </c:ser>
        <c:dLbls>
          <c:showLegendKey val="0"/>
          <c:showVal val="0"/>
          <c:showCatName val="0"/>
          <c:showSerName val="0"/>
          <c:showPercent val="0"/>
          <c:showBubbleSize val="0"/>
        </c:dLbls>
        <c:gapWidth val="150"/>
        <c:overlap val="100"/>
        <c:axId val="71961600"/>
        <c:axId val="71992064"/>
      </c:barChart>
      <c:catAx>
        <c:axId val="71961600"/>
        <c:scaling>
          <c:orientation val="minMax"/>
        </c:scaling>
        <c:delete val="0"/>
        <c:axPos val="l"/>
        <c:majorTickMark val="out"/>
        <c:minorTickMark val="none"/>
        <c:tickLblPos val="low"/>
        <c:txPr>
          <a:bodyPr/>
          <a:lstStyle/>
          <a:p>
            <a:pPr>
              <a:defRPr lang="el-GR" sz="800"/>
            </a:pPr>
            <a:endParaRPr lang="en-US"/>
          </a:p>
        </c:txPr>
        <c:crossAx val="71992064"/>
        <c:crosses val="autoZero"/>
        <c:auto val="1"/>
        <c:lblAlgn val="ctr"/>
        <c:lblOffset val="100"/>
        <c:noMultiLvlLbl val="0"/>
      </c:catAx>
      <c:valAx>
        <c:axId val="71992064"/>
        <c:scaling>
          <c:orientation val="minMax"/>
        </c:scaling>
        <c:delete val="0"/>
        <c:axPos val="b"/>
        <c:majorGridlines/>
        <c:numFmt formatCode="0%" sourceLinked="1"/>
        <c:majorTickMark val="out"/>
        <c:minorTickMark val="none"/>
        <c:tickLblPos val="nextTo"/>
        <c:txPr>
          <a:bodyPr/>
          <a:lstStyle/>
          <a:p>
            <a:pPr>
              <a:defRPr lang="el-GR" sz="800"/>
            </a:pPr>
            <a:endParaRPr lang="en-US"/>
          </a:p>
        </c:txPr>
        <c:crossAx val="719616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l-GR" sz="900"/>
            </a:pPr>
            <a:r>
              <a:rPr lang="en-US" sz="900"/>
              <a:t>Aumento</a:t>
            </a:r>
            <a:r>
              <a:rPr lang="en-US" sz="900" baseline="0"/>
              <a:t> de las formas de compromiso con el Enfoque Estratégico (indicador 10)</a:t>
            </a:r>
            <a:endParaRPr lang="en-US" sz="900"/>
          </a:p>
        </c:rich>
      </c:tx>
      <c:layout/>
      <c:overlay val="0"/>
    </c:title>
    <c:autoTitleDeleted val="0"/>
    <c:plotArea>
      <c:layout>
        <c:manualLayout>
          <c:layoutTarget val="inner"/>
          <c:xMode val="edge"/>
          <c:yMode val="edge"/>
          <c:x val="0.381879072398153"/>
          <c:y val="0.14305833933002399"/>
          <c:w val="0.60399062845458495"/>
          <c:h val="0.75355126052470001"/>
        </c:manualLayout>
      </c:layout>
      <c:barChart>
        <c:barDir val="bar"/>
        <c:grouping val="clustered"/>
        <c:varyColors val="0"/>
        <c:ser>
          <c:idx val="1"/>
          <c:order val="1"/>
          <c:tx>
            <c:strRef>
              <c:f>'11 Elements'!$N$295</c:f>
            </c:strRef>
          </c:tx>
          <c:invertIfNegative val="0"/>
          <c:cat>
            <c:multiLvlStrRef>
              <c:f>'11 Elements'!$K$315:$K$323</c:f>
            </c:multiLvlStrRef>
          </c:cat>
          <c:val>
            <c:numRef>
              <c:f>'11 Elements'!$N$315:$N$323</c:f>
            </c:numRef>
          </c:val>
        </c:ser>
        <c:ser>
          <c:idx val="0"/>
          <c:order val="0"/>
          <c:tx>
            <c:strRef>
              <c:f>'[Gráficos K1502328 SAICM ICCM 4 3.xlsx]11 Elements'!$N$295</c:f>
              <c:strCache>
                <c:ptCount val="1"/>
                <c:pt idx="0">
                  <c:v>% PR2</c:v>
                </c:pt>
              </c:strCache>
            </c:strRef>
          </c:tx>
          <c:invertIfNegative val="0"/>
          <c:dLbls>
            <c:txPr>
              <a:bodyPr/>
              <a:lstStyle/>
              <a:p>
                <a:pPr>
                  <a:defRPr lang="el-GR" sz="800"/>
                </a:pPr>
                <a:endParaRPr lang="en-US"/>
              </a:p>
            </c:txPr>
            <c:showLegendKey val="0"/>
            <c:showVal val="1"/>
            <c:showCatName val="0"/>
            <c:showSerName val="0"/>
            <c:showPercent val="0"/>
            <c:showBubbleSize val="0"/>
            <c:showLeaderLines val="0"/>
          </c:dLbls>
          <c:cat>
            <c:strRef>
              <c:f>'[Gráficos K1502328 SAICM ICCM 4 3.xlsx]11 Elements'!$K$315:$K$323</c:f>
              <c:strCache>
                <c:ptCount val="9"/>
                <c:pt idx="0">
                  <c:v>Comité de coordinación de cuestiones relativas al Enfoque Estratégico</c:v>
                </c:pt>
                <c:pt idx="1">
                  <c:v>Declaraciones ministeriales</c:v>
                </c:pt>
                <c:pt idx="2">
                  <c:v>Resoluciones de órganos de gobierno</c:v>
                </c:pt>
                <c:pt idx="3">
                  <c:v>No aplicable</c:v>
                </c:pt>
                <c:pt idx="4">
                  <c:v>Formalización de la función del coordinador nacional</c:v>
                </c:pt>
                <c:pt idx="5">
                  <c:v>Plan de aplicación del Enfoque Estratégico</c:v>
                </c:pt>
                <c:pt idx="6">
                  <c:v>Nuevo coordinador nacional del Enfoque Estratégico</c:v>
                </c:pt>
                <c:pt idx="7">
                  <c:v>Inclusión en los informes anuales</c:v>
                </c:pt>
                <c:pt idx="8">
                  <c:v>Otros compromisos</c:v>
                </c:pt>
              </c:strCache>
            </c:strRef>
          </c:cat>
          <c:val>
            <c:numRef>
              <c:f>'[Gráficos K1502328 SAICM ICCM 4 3.xlsx]11 Elements'!$N$315:$N$323</c:f>
              <c:numCache>
                <c:formatCode>0%</c:formatCode>
                <c:ptCount val="9"/>
                <c:pt idx="0">
                  <c:v>-0.121640735502122</c:v>
                </c:pt>
                <c:pt idx="1">
                  <c:v>-6.01131541725601E-2</c:v>
                </c:pt>
                <c:pt idx="2">
                  <c:v>-5.6046676096180997E-2</c:v>
                </c:pt>
                <c:pt idx="3">
                  <c:v>-2.3868458274398902E-2</c:v>
                </c:pt>
                <c:pt idx="4">
                  <c:v>-1.5293493635077799E-2</c:v>
                </c:pt>
                <c:pt idx="5">
                  <c:v>-1.2376237623762399E-2</c:v>
                </c:pt>
                <c:pt idx="6">
                  <c:v>4.86209335219236E-2</c:v>
                </c:pt>
                <c:pt idx="7">
                  <c:v>0.111120933521924</c:v>
                </c:pt>
                <c:pt idx="8">
                  <c:v>0.115364214992928</c:v>
                </c:pt>
              </c:numCache>
            </c:numRef>
          </c:val>
        </c:ser>
        <c:dLbls>
          <c:showLegendKey val="0"/>
          <c:showVal val="0"/>
          <c:showCatName val="0"/>
          <c:showSerName val="0"/>
          <c:showPercent val="0"/>
          <c:showBubbleSize val="0"/>
        </c:dLbls>
        <c:gapWidth val="150"/>
        <c:axId val="72013696"/>
        <c:axId val="72015232"/>
      </c:barChart>
      <c:catAx>
        <c:axId val="72013696"/>
        <c:scaling>
          <c:orientation val="minMax"/>
        </c:scaling>
        <c:delete val="0"/>
        <c:axPos val="l"/>
        <c:numFmt formatCode="0%" sourceLinked="1"/>
        <c:majorTickMark val="out"/>
        <c:minorTickMark val="none"/>
        <c:tickLblPos val="low"/>
        <c:txPr>
          <a:bodyPr/>
          <a:lstStyle/>
          <a:p>
            <a:pPr>
              <a:defRPr lang="el-GR" sz="800"/>
            </a:pPr>
            <a:endParaRPr lang="en-US"/>
          </a:p>
        </c:txPr>
        <c:crossAx val="72015232"/>
        <c:crosses val="autoZero"/>
        <c:auto val="1"/>
        <c:lblAlgn val="r"/>
        <c:lblOffset val="100"/>
        <c:noMultiLvlLbl val="0"/>
      </c:catAx>
      <c:valAx>
        <c:axId val="72015232"/>
        <c:scaling>
          <c:orientation val="minMax"/>
        </c:scaling>
        <c:delete val="0"/>
        <c:axPos val="b"/>
        <c:majorGridlines/>
        <c:numFmt formatCode="0%" sourceLinked="1"/>
        <c:majorTickMark val="out"/>
        <c:minorTickMark val="none"/>
        <c:tickLblPos val="nextTo"/>
        <c:txPr>
          <a:bodyPr/>
          <a:lstStyle/>
          <a:p>
            <a:pPr>
              <a:defRPr lang="el-GR" sz="800">
                <a:solidFill>
                  <a:sysClr val="windowText" lastClr="000000"/>
                </a:solidFill>
              </a:defRPr>
            </a:pPr>
            <a:endParaRPr lang="en-US"/>
          </a:p>
        </c:txPr>
        <c:crossAx val="7201369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l-GR" sz="900"/>
            </a:pPr>
            <a:r>
              <a:rPr lang="en-US" sz="900"/>
              <a:t>Aumento de los</a:t>
            </a:r>
            <a:r>
              <a:rPr lang="en-US" sz="900" baseline="0"/>
              <a:t> sectores participantes en mecanismos de coordinación  (indicador 11)</a:t>
            </a:r>
            <a:endParaRPr lang="en-US" sz="900"/>
          </a:p>
        </c:rich>
      </c:tx>
      <c:layout/>
      <c:overlay val="0"/>
    </c:title>
    <c:autoTitleDeleted val="0"/>
    <c:plotArea>
      <c:layout>
        <c:manualLayout>
          <c:layoutTarget val="inner"/>
          <c:xMode val="edge"/>
          <c:yMode val="edge"/>
          <c:x val="0.381879072398153"/>
          <c:y val="0.14305833933002399"/>
          <c:w val="0.60399062845458495"/>
          <c:h val="0.75355126052470001"/>
        </c:manualLayout>
      </c:layout>
      <c:barChart>
        <c:barDir val="bar"/>
        <c:grouping val="clustered"/>
        <c:varyColors val="0"/>
        <c:ser>
          <c:idx val="1"/>
          <c:order val="1"/>
          <c:tx>
            <c:strRef>
              <c:f>'11 Elements'!$O$205</c:f>
            </c:strRef>
          </c:tx>
          <c:invertIfNegative val="0"/>
          <c:cat>
            <c:multiLvlStrRef>
              <c:f>'11 Elements'!$L$206:$L$218</c:f>
            </c:multiLvlStrRef>
          </c:cat>
          <c:val>
            <c:numRef>
              <c:f>'11 Elements'!$O$206:$O$218</c:f>
            </c:numRef>
          </c:val>
        </c:ser>
        <c:ser>
          <c:idx val="0"/>
          <c:order val="0"/>
          <c:tx>
            <c:strRef>
              <c:f>'[Gráficos K1502328 SAICM ICCM 4 3.xlsx]11 Elements'!$O$295</c:f>
              <c:strCache>
                <c:ptCount val="1"/>
                <c:pt idx="0">
                  <c:v>Increase in specific sectors engaged in multi-stakeholder coordination</c:v>
                </c:pt>
              </c:strCache>
            </c:strRef>
          </c:tx>
          <c:invertIfNegative val="0"/>
          <c:dLbls>
            <c:txPr>
              <a:bodyPr/>
              <a:lstStyle/>
              <a:p>
                <a:pPr>
                  <a:defRPr lang="el-GR" sz="800"/>
                </a:pPr>
                <a:endParaRPr lang="en-US"/>
              </a:p>
            </c:txPr>
            <c:showLegendKey val="0"/>
            <c:showVal val="1"/>
            <c:showCatName val="0"/>
            <c:showSerName val="0"/>
            <c:showPercent val="0"/>
            <c:showBubbleSize val="0"/>
            <c:showLeaderLines val="0"/>
          </c:dLbls>
          <c:cat>
            <c:strRef>
              <c:f>'[Gráficos K1502328 SAICM ICCM 4 3.xlsx]11 Elements'!$L$296:$L$308</c:f>
              <c:strCache>
                <c:ptCount val="13"/>
                <c:pt idx="0">
                  <c:v>Asuntos Exteriores</c:v>
                </c:pt>
                <c:pt idx="1">
                  <c:v>Otros</c:v>
                </c:pt>
                <c:pt idx="2">
                  <c:v>Primer ministro</c:v>
                </c:pt>
                <c:pt idx="3">
                  <c:v>Trabajo</c:v>
                </c:pt>
                <c:pt idx="4">
                  <c:v>Industria</c:v>
                </c:pt>
                <c:pt idx="5">
                  <c:v>Agricultura</c:v>
                </c:pt>
                <c:pt idx="6">
                  <c:v>Transportes</c:v>
                </c:pt>
                <c:pt idx="7">
                  <c:v>Medio Ambiente</c:v>
                </c:pt>
                <c:pt idx="8">
                  <c:v>Ciencia</c:v>
                </c:pt>
                <c:pt idx="9">
                  <c:v>Autoridades aduaneras</c:v>
                </c:pt>
                <c:pt idx="10">
                  <c:v>Comercio</c:v>
                </c:pt>
                <c:pt idx="11">
                  <c:v>Sanidad</c:v>
                </c:pt>
                <c:pt idx="12">
                  <c:v>Educación</c:v>
                </c:pt>
              </c:strCache>
            </c:strRef>
          </c:cat>
          <c:val>
            <c:numRef>
              <c:f>'[Gráficos K1502328 SAICM ICCM 4 3.xlsx]11 Elements'!$O$296:$O$308</c:f>
              <c:numCache>
                <c:formatCode>0%</c:formatCode>
                <c:ptCount val="13"/>
                <c:pt idx="0">
                  <c:v>-2.5548090523338101E-2</c:v>
                </c:pt>
                <c:pt idx="1">
                  <c:v>-2.22772277227723E-2</c:v>
                </c:pt>
                <c:pt idx="2">
                  <c:v>6.8069306930693104E-3</c:v>
                </c:pt>
                <c:pt idx="3">
                  <c:v>6.1262376237623699E-2</c:v>
                </c:pt>
                <c:pt idx="4">
                  <c:v>8.2036775106082094E-2</c:v>
                </c:pt>
                <c:pt idx="5">
                  <c:v>0.107673267326733</c:v>
                </c:pt>
                <c:pt idx="6">
                  <c:v>0.11306577086280099</c:v>
                </c:pt>
                <c:pt idx="7">
                  <c:v>0.13039250353606799</c:v>
                </c:pt>
                <c:pt idx="8">
                  <c:v>0.139851485148515</c:v>
                </c:pt>
                <c:pt idx="9">
                  <c:v>0.14259193776520501</c:v>
                </c:pt>
                <c:pt idx="10">
                  <c:v>0.14276874115982999</c:v>
                </c:pt>
                <c:pt idx="11">
                  <c:v>0.148249646393211</c:v>
                </c:pt>
                <c:pt idx="12">
                  <c:v>0.15983026874115999</c:v>
                </c:pt>
              </c:numCache>
            </c:numRef>
          </c:val>
        </c:ser>
        <c:dLbls>
          <c:showLegendKey val="0"/>
          <c:showVal val="0"/>
          <c:showCatName val="0"/>
          <c:showSerName val="0"/>
          <c:showPercent val="0"/>
          <c:showBubbleSize val="0"/>
        </c:dLbls>
        <c:gapWidth val="150"/>
        <c:axId val="72057216"/>
        <c:axId val="72058752"/>
      </c:barChart>
      <c:catAx>
        <c:axId val="72057216"/>
        <c:scaling>
          <c:orientation val="minMax"/>
        </c:scaling>
        <c:delete val="0"/>
        <c:axPos val="l"/>
        <c:majorTickMark val="out"/>
        <c:minorTickMark val="none"/>
        <c:tickLblPos val="low"/>
        <c:txPr>
          <a:bodyPr/>
          <a:lstStyle/>
          <a:p>
            <a:pPr>
              <a:defRPr lang="el-GR" sz="800"/>
            </a:pPr>
            <a:endParaRPr lang="en-US"/>
          </a:p>
        </c:txPr>
        <c:crossAx val="72058752"/>
        <c:crosses val="autoZero"/>
        <c:auto val="1"/>
        <c:lblAlgn val="ctr"/>
        <c:lblOffset val="100"/>
        <c:noMultiLvlLbl val="0"/>
      </c:catAx>
      <c:valAx>
        <c:axId val="72058752"/>
        <c:scaling>
          <c:orientation val="minMax"/>
        </c:scaling>
        <c:delete val="0"/>
        <c:axPos val="b"/>
        <c:majorGridlines/>
        <c:numFmt formatCode="0%" sourceLinked="1"/>
        <c:majorTickMark val="out"/>
        <c:minorTickMark val="none"/>
        <c:tickLblPos val="nextTo"/>
        <c:txPr>
          <a:bodyPr/>
          <a:lstStyle/>
          <a:p>
            <a:pPr>
              <a:defRPr lang="el-GR" sz="800"/>
            </a:pPr>
            <a:endParaRPr lang="en-US"/>
          </a:p>
        </c:txPr>
        <c:crossAx val="720572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9752519A118646A751C56EE5F23718" ma:contentTypeVersion="12" ma:contentTypeDescription="Create a new document." ma:contentTypeScope="" ma:versionID="bea4595d1041c6f6782ae5953aa193ae">
  <xsd:schema xmlns:xsd="http://www.w3.org/2001/XMLSchema" xmlns:xs="http://www.w3.org/2001/XMLSchema" xmlns:p="http://schemas.microsoft.com/office/2006/metadata/properties" xmlns:ns2="d0e18416-7559-4b6d-852d-72f57b63aa53" xmlns:ns3="c58758fe-de02-4c57-a65e-d8f4a8caf876" targetNamespace="http://schemas.microsoft.com/office/2006/metadata/properties" ma:root="true" ma:fieldsID="ce50ab8fd8b801d8490968a41fa6ffeb" ns2:_="" ns3:_="">
    <xsd:import namespace="d0e18416-7559-4b6d-852d-72f57b63aa53"/>
    <xsd:import namespace="c58758fe-de02-4c57-a65e-d8f4a8caf8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8416-7559-4b6d-852d-72f57b63a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758fe-de02-4c57-a65e-d8f4a8caf8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67D2D-A9B8-4045-9AAB-B8F3CA0BEA60}">
  <ds:schemaRefs>
    <ds:schemaRef ds:uri="http://schemas.openxmlformats.org/officeDocument/2006/bibliography"/>
  </ds:schemaRefs>
</ds:datastoreItem>
</file>

<file path=customXml/itemProps2.xml><?xml version="1.0" encoding="utf-8"?>
<ds:datastoreItem xmlns:ds="http://schemas.openxmlformats.org/officeDocument/2006/customXml" ds:itemID="{6ACB1563-3814-47C3-92F0-DFAD72F63987}"/>
</file>

<file path=customXml/itemProps3.xml><?xml version="1.0" encoding="utf-8"?>
<ds:datastoreItem xmlns:ds="http://schemas.openxmlformats.org/officeDocument/2006/customXml" ds:itemID="{D8008FF3-600C-4C96-B064-FFF394ED0D28}"/>
</file>

<file path=customXml/itemProps4.xml><?xml version="1.0" encoding="utf-8"?>
<ds:datastoreItem xmlns:ds="http://schemas.openxmlformats.org/officeDocument/2006/customXml" ds:itemID="{821A9745-EED3-4BF0-9EC5-15DE51A5FAEC}"/>
</file>

<file path=docProps/app.xml><?xml version="1.0" encoding="utf-8"?>
<Properties xmlns="http://schemas.openxmlformats.org/officeDocument/2006/extended-properties" xmlns:vt="http://schemas.openxmlformats.org/officeDocument/2006/docPropsVTypes">
  <Template>Normal.dotm</Template>
  <TotalTime>1</TotalTime>
  <Pages>19</Pages>
  <Words>6650</Words>
  <Characters>37908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44470</CharactersWithSpaces>
  <SharedDoc>false</SharedDoc>
  <HLinks>
    <vt:vector size="30" baseType="variant">
      <vt:variant>
        <vt:i4>6619185</vt:i4>
      </vt:variant>
      <vt:variant>
        <vt:i4>12</vt:i4>
      </vt:variant>
      <vt:variant>
        <vt:i4>0</vt:i4>
      </vt:variant>
      <vt:variant>
        <vt:i4>5</vt:i4>
      </vt:variant>
      <vt:variant>
        <vt:lpwstr>http://www.who.int/ipcs/en/</vt:lpwstr>
      </vt:variant>
      <vt:variant>
        <vt:lpwstr/>
      </vt:variant>
      <vt:variant>
        <vt:i4>8192062</vt:i4>
      </vt:variant>
      <vt:variant>
        <vt:i4>9</vt:i4>
      </vt:variant>
      <vt:variant>
        <vt:i4>0</vt:i4>
      </vt:variant>
      <vt:variant>
        <vt:i4>5</vt:i4>
      </vt:variant>
      <vt:variant>
        <vt:lpwstr>http://www.unitar.org/cwm/</vt:lpwstr>
      </vt:variant>
      <vt:variant>
        <vt:lpwstr/>
      </vt:variant>
      <vt:variant>
        <vt:i4>7077947</vt:i4>
      </vt:variant>
      <vt:variant>
        <vt:i4>6</vt:i4>
      </vt:variant>
      <vt:variant>
        <vt:i4>0</vt:i4>
      </vt:variant>
      <vt:variant>
        <vt:i4>5</vt:i4>
      </vt:variant>
      <vt:variant>
        <vt:lpwstr>http://www.undp.org/chemicals/</vt:lpwstr>
      </vt:variant>
      <vt:variant>
        <vt:lpwstr/>
      </vt:variant>
      <vt:variant>
        <vt:i4>6946906</vt:i4>
      </vt:variant>
      <vt:variant>
        <vt:i4>3</vt:i4>
      </vt:variant>
      <vt:variant>
        <vt:i4>0</vt:i4>
      </vt:variant>
      <vt:variant>
        <vt:i4>5</vt:i4>
      </vt:variant>
      <vt:variant>
        <vt:lpwstr>http://www.oecd.org/topic/0,3699,en_2649_34365_1_1_1_1_37465,00.html</vt:lpwstr>
      </vt:variant>
      <vt:variant>
        <vt:lpwstr/>
      </vt:variant>
      <vt:variant>
        <vt:i4>2752621</vt:i4>
      </vt:variant>
      <vt:variant>
        <vt:i4>0</vt:i4>
      </vt:variant>
      <vt:variant>
        <vt:i4>0</vt:i4>
      </vt:variant>
      <vt:variant>
        <vt:i4>5</vt:i4>
      </vt:variant>
      <vt:variant>
        <vt:lpwstr>http://www.fao.org/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creator>nikki criticos</dc:creator>
  <cp:lastModifiedBy>Jimena Vallejo</cp:lastModifiedBy>
  <cp:revision>2</cp:revision>
  <cp:lastPrinted>2015-08-28T06:33:00Z</cp:lastPrinted>
  <dcterms:created xsi:type="dcterms:W3CDTF">2015-08-31T14:07:00Z</dcterms:created>
  <dcterms:modified xsi:type="dcterms:W3CDTF">2015-08-31T14:07:00Z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vicente.ubeda fernandez</vt:lpwstr>
  </property>
  <property fmtid="{D5CDD505-2E9C-101B-9397-08002B2CF9AE}" pid="4" name="GeneratedDate">
    <vt:lpwstr>8/20/2015 8:59:55 AM</vt:lpwstr>
  </property>
  <property fmtid="{D5CDD505-2E9C-101B-9397-08002B2CF9AE}" pid="5" name="OriginalDocID">
    <vt:lpwstr>8c4729c9-cf1e-4c6a-b905-842f39f0adc2</vt:lpwstr>
  </property>
  <property fmtid="{D5CDD505-2E9C-101B-9397-08002B2CF9AE}" pid="6" name="ContentTypeId">
    <vt:lpwstr>0x010100259752519A118646A751C56EE5F23718</vt:lpwstr>
  </property>
  <property fmtid="{D5CDD505-2E9C-101B-9397-08002B2CF9AE}" pid="7" name="Order">
    <vt:r8>3538600</vt:r8>
  </property>
</Properties>
</file>